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A4F" w:rsidRDefault="004766B9">
      <w:pPr>
        <w:jc w:val="center"/>
        <w:rPr>
          <w:rFonts w:ascii="楷体_GB2312" w:eastAsia="楷体_GB2312" w:hAnsi="宋体" w:cs="宋体" w:hint="eastAsia"/>
          <w:b/>
          <w:sz w:val="40"/>
          <w:szCs w:val="40"/>
        </w:rPr>
      </w:pPr>
      <w:r>
        <w:rPr>
          <w:rFonts w:ascii="微软雅黑" w:eastAsia="微软雅黑" w:hAnsi="微软雅黑" w:cs="微软雅黑" w:hint="eastAsia"/>
          <w:sz w:val="36"/>
          <w:szCs w:val="36"/>
        </w:rPr>
        <w:t>东城根下街24号附5</w:t>
      </w:r>
      <w:r w:rsidR="00063176">
        <w:rPr>
          <w:rFonts w:ascii="微软雅黑" w:eastAsia="微软雅黑" w:hAnsi="微软雅黑" w:cs="微软雅黑" w:hint="eastAsia"/>
          <w:sz w:val="36"/>
          <w:szCs w:val="36"/>
        </w:rPr>
        <w:t>号</w:t>
      </w:r>
      <w:r w:rsidR="008A3A4F">
        <w:rPr>
          <w:rFonts w:ascii="楷体_GB2312" w:eastAsia="楷体_GB2312" w:hAnsi="宋体" w:cs="宋体" w:hint="eastAsia"/>
          <w:b/>
          <w:sz w:val="40"/>
          <w:szCs w:val="40"/>
        </w:rPr>
        <w:t>物业</w:t>
      </w:r>
    </w:p>
    <w:p w:rsidR="008A3A4F" w:rsidRDefault="008A3A4F">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8A3A4F" w:rsidRDefault="008A3A4F">
      <w:pPr>
        <w:spacing w:line="560" w:lineRule="exact"/>
        <w:rPr>
          <w:rFonts w:ascii="楷体_GB2312" w:eastAsia="楷体_GB2312" w:hAnsi="宋体" w:cs="宋体" w:hint="eastAsia"/>
          <w:b/>
          <w:sz w:val="36"/>
          <w:szCs w:val="36"/>
        </w:rPr>
      </w:pPr>
      <w:bookmarkStart w:id="0" w:name="_GoBack"/>
      <w:bookmarkEnd w:id="0"/>
    </w:p>
    <w:p w:rsidR="008A3A4F" w:rsidRDefault="008A3A4F">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8A3A4F" w:rsidRPr="004766B9" w:rsidRDefault="008A3A4F">
      <w:pPr>
        <w:spacing w:line="560" w:lineRule="exact"/>
        <w:ind w:firstLineChars="200" w:firstLine="640"/>
        <w:rPr>
          <w:rFonts w:ascii="楷体" w:eastAsia="楷体" w:hAnsi="楷体" w:cs="宋体" w:hint="eastAsia"/>
        </w:rPr>
      </w:pPr>
      <w:r w:rsidRPr="004766B9">
        <w:rPr>
          <w:rFonts w:ascii="楷体" w:eastAsia="楷体" w:hAnsi="楷体" w:cs="宋体" w:hint="eastAsia"/>
        </w:rPr>
        <w:t>1.招租项目：</w:t>
      </w:r>
      <w:r w:rsidR="004766B9" w:rsidRPr="004766B9">
        <w:rPr>
          <w:rFonts w:ascii="楷体" w:eastAsia="楷体" w:hAnsi="楷体" w:cs="微软雅黑" w:hint="eastAsia"/>
        </w:rPr>
        <w:t>东城根下街24号附5号</w:t>
      </w:r>
      <w:r w:rsidRPr="004766B9">
        <w:rPr>
          <w:rFonts w:ascii="楷体" w:eastAsia="楷体" w:hAnsi="楷体" w:cs="宋体" w:hint="eastAsia"/>
        </w:rPr>
        <w:t>物业。</w:t>
      </w:r>
    </w:p>
    <w:p w:rsidR="008A3A4F" w:rsidRPr="004766B9" w:rsidRDefault="008A3A4F">
      <w:pPr>
        <w:spacing w:line="560" w:lineRule="exact"/>
        <w:ind w:firstLineChars="200" w:firstLine="640"/>
        <w:rPr>
          <w:rFonts w:ascii="楷体" w:eastAsia="楷体" w:hAnsi="楷体" w:cs="宋体" w:hint="eastAsia"/>
        </w:rPr>
      </w:pPr>
      <w:r w:rsidRPr="004766B9">
        <w:rPr>
          <w:rFonts w:ascii="楷体" w:eastAsia="楷体" w:hAnsi="楷体" w:cs="宋体" w:hint="eastAsia"/>
        </w:rPr>
        <w:t>2.物业地点：</w:t>
      </w:r>
      <w:r w:rsidRPr="004766B9">
        <w:rPr>
          <w:rFonts w:ascii="楷体" w:eastAsia="楷体" w:hAnsi="楷体" w:cs="宋体" w:hint="eastAsia"/>
          <w:u w:val="single"/>
        </w:rPr>
        <w:t xml:space="preserve"> </w:t>
      </w:r>
      <w:r w:rsidRPr="004766B9">
        <w:rPr>
          <w:rFonts w:ascii="楷体" w:eastAsia="楷体" w:hAnsi="楷体" w:cs="宋体" w:hint="eastAsia"/>
        </w:rPr>
        <w:t xml:space="preserve"> 成都市</w:t>
      </w:r>
      <w:r w:rsidR="004766B9" w:rsidRPr="004766B9">
        <w:rPr>
          <w:rFonts w:ascii="楷体" w:eastAsia="楷体" w:hAnsi="楷体" w:cs="宋体" w:hint="eastAsia"/>
        </w:rPr>
        <w:t>青羊</w:t>
      </w:r>
      <w:r w:rsidR="00A36D6C" w:rsidRPr="004766B9">
        <w:rPr>
          <w:rFonts w:ascii="楷体" w:eastAsia="楷体" w:hAnsi="楷体" w:cs="宋体" w:hint="eastAsia"/>
        </w:rPr>
        <w:t>区</w:t>
      </w:r>
      <w:r w:rsidR="004766B9" w:rsidRPr="004766B9">
        <w:rPr>
          <w:rFonts w:ascii="楷体" w:eastAsia="楷体" w:hAnsi="楷体" w:cs="微软雅黑" w:hint="eastAsia"/>
        </w:rPr>
        <w:t>东城根下街24号附5号</w:t>
      </w:r>
      <w:r w:rsidR="00A36D6C" w:rsidRPr="004766B9">
        <w:rPr>
          <w:rFonts w:ascii="楷体" w:eastAsia="楷体" w:hAnsi="楷体" w:cs="宋体" w:hint="eastAsia"/>
        </w:rPr>
        <w:t>一楼商</w:t>
      </w:r>
      <w:r w:rsidR="00A36D6C" w:rsidRPr="004766B9">
        <w:rPr>
          <w:rFonts w:ascii="楷体" w:eastAsia="楷体" w:hAnsi="楷体" w:cs="宋体" w:hint="eastAsia"/>
          <w:u w:val="single"/>
        </w:rPr>
        <w:t>铺</w:t>
      </w:r>
      <w:r w:rsidRPr="004766B9">
        <w:rPr>
          <w:rFonts w:ascii="楷体" w:eastAsia="楷体" w:hAnsi="楷体" w:cs="宋体" w:hint="eastAsia"/>
          <w:u w:val="single"/>
        </w:rPr>
        <w:t xml:space="preserve">  </w:t>
      </w:r>
      <w:r w:rsidRPr="004766B9">
        <w:rPr>
          <w:rFonts w:ascii="楷体" w:eastAsia="楷体" w:hAnsi="楷体" w:cs="宋体" w:hint="eastAsia"/>
        </w:rPr>
        <w:t>。</w:t>
      </w:r>
    </w:p>
    <w:p w:rsidR="008A3A4F" w:rsidRDefault="008A3A4F">
      <w:pPr>
        <w:pStyle w:val="a5"/>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sidR="00574DAE">
        <w:rPr>
          <w:rFonts w:ascii="楷体_GB2312" w:eastAsia="楷体_GB2312" w:hAnsi="宋体" w:hint="eastAsia"/>
          <w:sz w:val="32"/>
          <w:szCs w:val="32"/>
          <w:u w:val="single"/>
        </w:rPr>
        <w:t>该物业位于</w:t>
      </w:r>
      <w:r w:rsidR="004766B9">
        <w:rPr>
          <w:rFonts w:ascii="楷体_GB2312" w:eastAsia="楷体_GB2312" w:hAnsi="宋体" w:hint="eastAsia"/>
          <w:sz w:val="32"/>
          <w:szCs w:val="32"/>
          <w:u w:val="single"/>
        </w:rPr>
        <w:t>长顺下街以东</w:t>
      </w:r>
      <w:r w:rsidR="00574DAE">
        <w:rPr>
          <w:rFonts w:ascii="楷体_GB2312" w:eastAsia="楷体_GB2312" w:hAnsi="宋体" w:hint="eastAsia"/>
          <w:sz w:val="32"/>
          <w:szCs w:val="32"/>
          <w:u w:val="single"/>
        </w:rPr>
        <w:t>、临</w:t>
      </w:r>
      <w:r w:rsidR="004766B9">
        <w:rPr>
          <w:rFonts w:ascii="楷体_GB2312" w:eastAsia="楷体_GB2312" w:hAnsi="宋体" w:hint="eastAsia"/>
          <w:sz w:val="32"/>
          <w:szCs w:val="32"/>
          <w:u w:val="single"/>
        </w:rPr>
        <w:t>东城根下</w:t>
      </w:r>
      <w:r w:rsidR="00574DAE">
        <w:rPr>
          <w:rFonts w:ascii="楷体_GB2312" w:eastAsia="楷体_GB2312" w:hAnsi="宋体" w:hint="eastAsia"/>
          <w:sz w:val="32"/>
          <w:szCs w:val="32"/>
          <w:u w:val="single"/>
        </w:rPr>
        <w:t>街，区域内有成都市</w:t>
      </w:r>
      <w:r w:rsidR="004766B9">
        <w:rPr>
          <w:rFonts w:ascii="楷体_GB2312" w:eastAsia="楷体_GB2312" w:hAnsi="宋体" w:hint="eastAsia"/>
          <w:sz w:val="32"/>
          <w:szCs w:val="32"/>
          <w:u w:val="single"/>
        </w:rPr>
        <w:t>泡桐树小学、成都市回民小</w:t>
      </w:r>
      <w:r w:rsidR="00574DAE">
        <w:rPr>
          <w:rFonts w:ascii="楷体_GB2312" w:eastAsia="楷体_GB2312" w:hAnsi="宋体" w:hint="eastAsia"/>
          <w:sz w:val="32"/>
          <w:szCs w:val="32"/>
          <w:u w:val="single"/>
        </w:rPr>
        <w:t>学、</w:t>
      </w:r>
      <w:r w:rsidR="004766B9">
        <w:rPr>
          <w:rFonts w:ascii="楷体_GB2312" w:eastAsia="楷体_GB2312" w:hAnsi="宋体" w:hint="eastAsia"/>
          <w:sz w:val="32"/>
          <w:szCs w:val="32"/>
          <w:u w:val="single"/>
        </w:rPr>
        <w:t>四川省第五人民医院、中国工商</w:t>
      </w:r>
      <w:r w:rsidR="00574DAE">
        <w:rPr>
          <w:rFonts w:ascii="楷体_GB2312" w:eastAsia="楷体_GB2312" w:hAnsi="宋体" w:hint="eastAsia"/>
          <w:sz w:val="32"/>
          <w:szCs w:val="32"/>
          <w:u w:val="single"/>
        </w:rPr>
        <w:t>银行、</w:t>
      </w:r>
      <w:r w:rsidR="004766B9">
        <w:rPr>
          <w:rFonts w:ascii="楷体_GB2312" w:eastAsia="楷体_GB2312" w:hAnsi="宋体" w:hint="eastAsia"/>
          <w:sz w:val="32"/>
          <w:szCs w:val="32"/>
          <w:u w:val="single"/>
        </w:rPr>
        <w:t>中国</w:t>
      </w:r>
      <w:r w:rsidR="00574DAE">
        <w:rPr>
          <w:rFonts w:ascii="楷体_GB2312" w:eastAsia="楷体_GB2312" w:hAnsi="宋体" w:hint="eastAsia"/>
          <w:sz w:val="32"/>
          <w:szCs w:val="32"/>
          <w:u w:val="single"/>
        </w:rPr>
        <w:t>银行、红旗连锁，商业氛围较好，有</w:t>
      </w:r>
      <w:r w:rsidR="004766B9">
        <w:rPr>
          <w:rFonts w:ascii="楷体_GB2312" w:eastAsia="楷体_GB2312" w:hAnsi="宋体" w:hint="eastAsia"/>
          <w:sz w:val="32"/>
          <w:szCs w:val="32"/>
          <w:u w:val="single"/>
        </w:rPr>
        <w:t>5、30、57、109</w:t>
      </w:r>
      <w:r w:rsidR="00574DAE">
        <w:rPr>
          <w:rFonts w:ascii="楷体_GB2312" w:eastAsia="楷体_GB2312" w:hAnsi="宋体" w:hint="eastAsia"/>
          <w:sz w:val="32"/>
          <w:szCs w:val="32"/>
          <w:u w:val="single"/>
        </w:rPr>
        <w:t>等多路地铁公交车通过该区域，对内对外公共交通便利</w:t>
      </w:r>
      <w:r>
        <w:rPr>
          <w:rFonts w:ascii="楷体_GB2312" w:eastAsia="楷体_GB2312" w:hAnsi="宋体" w:hint="eastAsia"/>
          <w:sz w:val="32"/>
          <w:szCs w:val="32"/>
          <w:u w:val="single"/>
        </w:rPr>
        <w:t>。</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8A3A4F" w:rsidRDefault="008A3A4F">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8A3A4F" w:rsidRDefault="008A3A4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8A3A4F" w:rsidRDefault="008A3A4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w:t>
      </w:r>
      <w:r>
        <w:rPr>
          <w:rFonts w:ascii="楷体_GB2312" w:eastAsia="楷体_GB2312" w:hAnsi="宋体" w:cs="宋体" w:hint="eastAsia"/>
          <w:bCs/>
        </w:rPr>
        <w:lastRenderedPageBreak/>
        <w:t>不接受联合体报名，</w:t>
      </w:r>
      <w:r>
        <w:rPr>
          <w:rFonts w:ascii="楷体_GB2312" w:eastAsia="楷体_GB2312" w:hAnsi="Arial" w:cs="Arial" w:hint="eastAsia"/>
          <w:shd w:val="clear" w:color="auto" w:fill="FFFFFF"/>
        </w:rPr>
        <w:t>否则视为无效。</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企业类：需提供公司营业执照正、副本，税务登记证（三证合一的提供最新版本的营业执照），法人身份证。非法人本人参与报名时需提供委托书（以上均需验原件，收复印件，复印件上需盖公章）。</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w:t>
      </w:r>
      <w:r w:rsidR="00831AC7">
        <w:rPr>
          <w:rFonts w:ascii="楷体_GB2312" w:eastAsia="楷体_GB2312" w:hAnsi="宋体" w:cs="宋体" w:hint="eastAsia"/>
          <w:u w:val="single"/>
        </w:rPr>
        <w:t>2</w:t>
      </w:r>
      <w:r w:rsidR="00754705">
        <w:rPr>
          <w:rFonts w:ascii="楷体_GB2312" w:eastAsia="楷体_GB2312" w:hAnsi="宋体" w:cs="宋体" w:hint="eastAsia"/>
          <w:u w:val="single"/>
        </w:rPr>
        <w:t>1</w:t>
      </w:r>
      <w:r>
        <w:rPr>
          <w:rFonts w:ascii="楷体_GB2312" w:eastAsia="楷体_GB2312" w:hAnsi="宋体" w:cs="宋体" w:hint="eastAsia"/>
        </w:rPr>
        <w:t>年</w:t>
      </w:r>
      <w:r w:rsidR="00831AC7">
        <w:rPr>
          <w:rFonts w:ascii="楷体_GB2312" w:eastAsia="楷体_GB2312" w:hAnsi="宋体" w:cs="宋体" w:hint="eastAsia"/>
          <w:u w:val="single"/>
        </w:rPr>
        <w:t xml:space="preserve"> </w:t>
      </w:r>
      <w:r w:rsidR="00754705">
        <w:rPr>
          <w:rFonts w:ascii="楷体_GB2312" w:eastAsia="楷体_GB2312" w:hAnsi="宋体" w:cs="宋体" w:hint="eastAsia"/>
          <w:u w:val="single"/>
        </w:rPr>
        <w:t>4</w:t>
      </w:r>
      <w:r w:rsidR="00831AC7">
        <w:rPr>
          <w:rFonts w:ascii="楷体_GB2312" w:eastAsia="楷体_GB2312" w:hAnsi="宋体" w:cs="宋体" w:hint="eastAsia"/>
          <w:u w:val="single"/>
        </w:rPr>
        <w:t xml:space="preserve">  </w:t>
      </w:r>
      <w:r>
        <w:rPr>
          <w:rFonts w:ascii="楷体_GB2312" w:eastAsia="楷体_GB2312" w:hAnsi="宋体" w:cs="宋体" w:hint="eastAsia"/>
        </w:rPr>
        <w:t>月</w:t>
      </w:r>
      <w:r>
        <w:rPr>
          <w:rFonts w:ascii="楷体_GB2312" w:eastAsia="楷体_GB2312" w:hAnsi="宋体" w:cs="宋体" w:hint="eastAsia"/>
          <w:u w:val="single"/>
        </w:rPr>
        <w:t xml:space="preserve"> </w:t>
      </w:r>
      <w:r w:rsidR="00AA6629">
        <w:rPr>
          <w:rFonts w:ascii="楷体_GB2312" w:eastAsia="楷体_GB2312" w:hAnsi="宋体" w:cs="宋体" w:hint="eastAsia"/>
          <w:u w:val="single"/>
        </w:rPr>
        <w:t>29</w:t>
      </w:r>
      <w:r w:rsidR="00831AC7">
        <w:rPr>
          <w:rFonts w:ascii="楷体_GB2312" w:eastAsia="楷体_GB2312" w:hAnsi="宋体" w:cs="宋体" w:hint="eastAsia"/>
          <w:u w:val="single"/>
        </w:rPr>
        <w:t xml:space="preserve"> </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8A3A4F" w:rsidRDefault="008A3A4F">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8A3A4F" w:rsidRDefault="008A3A4F">
      <w:pPr>
        <w:pStyle w:val="a5"/>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8A3A4F" w:rsidRDefault="008A3A4F">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lastRenderedPageBreak/>
        <w:t>六、确定承租人：</w:t>
      </w:r>
    </w:p>
    <w:p w:rsidR="008A3A4F" w:rsidRDefault="008A3A4F">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8A3A4F" w:rsidRDefault="008A3A4F">
      <w:pPr>
        <w:spacing w:line="560" w:lineRule="exact"/>
        <w:ind w:firstLine="645"/>
        <w:rPr>
          <w:rFonts w:ascii="黑体" w:eastAsia="黑体" w:hAnsi="黑体" w:hint="eastAsia"/>
          <w:bCs/>
        </w:rPr>
      </w:pPr>
      <w:r>
        <w:rPr>
          <w:rFonts w:ascii="黑体" w:eastAsia="黑体" w:hAnsi="黑体" w:hint="eastAsia"/>
          <w:bCs/>
        </w:rPr>
        <w:t>七、竞租人违约责任：</w:t>
      </w:r>
    </w:p>
    <w:p w:rsidR="008A3A4F" w:rsidRDefault="008A3A4F">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8A3A4F" w:rsidRDefault="008A3A4F">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8A3A4F" w:rsidRDefault="008A3A4F">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8A3A4F" w:rsidRDefault="008A3A4F">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w:t>
      </w:r>
      <w:r w:rsidR="00831AC7">
        <w:rPr>
          <w:rFonts w:ascii="楷体_GB2312" w:eastAsia="楷体_GB2312" w:hAnsi="宋体" w:cs="宋体" w:hint="eastAsia"/>
          <w:u w:val="single"/>
        </w:rPr>
        <w:t>2</w:t>
      </w:r>
      <w:r w:rsidR="00754705">
        <w:rPr>
          <w:rFonts w:ascii="楷体_GB2312" w:eastAsia="楷体_GB2312" w:hAnsi="宋体" w:cs="宋体" w:hint="eastAsia"/>
          <w:u w:val="single"/>
        </w:rPr>
        <w:t>1</w:t>
      </w:r>
      <w:r>
        <w:rPr>
          <w:rFonts w:ascii="楷体_GB2312" w:eastAsia="楷体_GB2312" w:hAnsi="宋体" w:cs="宋体"/>
        </w:rPr>
        <w:t>年</w:t>
      </w:r>
      <w:r w:rsidR="00831AC7">
        <w:rPr>
          <w:rFonts w:ascii="楷体_GB2312" w:eastAsia="楷体_GB2312" w:hAnsi="宋体" w:cs="宋体" w:hint="eastAsia"/>
          <w:u w:val="single"/>
        </w:rPr>
        <w:t xml:space="preserve"> </w:t>
      </w:r>
      <w:r w:rsidR="00754705">
        <w:rPr>
          <w:rFonts w:ascii="楷体_GB2312" w:eastAsia="楷体_GB2312" w:hAnsi="宋体" w:cs="宋体" w:hint="eastAsia"/>
          <w:u w:val="single"/>
        </w:rPr>
        <w:t>4</w:t>
      </w:r>
      <w:r>
        <w:rPr>
          <w:rFonts w:ascii="楷体_GB2312" w:eastAsia="楷体_GB2312" w:hAnsi="宋体" w:cs="宋体"/>
        </w:rPr>
        <w:t>月</w:t>
      </w:r>
      <w:r w:rsidR="00831AC7">
        <w:rPr>
          <w:rFonts w:ascii="楷体_GB2312" w:eastAsia="楷体_GB2312" w:hAnsi="宋体" w:cs="宋体" w:hint="eastAsia"/>
          <w:u w:val="single"/>
        </w:rPr>
        <w:t xml:space="preserve"> </w:t>
      </w:r>
      <w:r w:rsidR="00AA6629">
        <w:rPr>
          <w:rFonts w:ascii="楷体_GB2312" w:eastAsia="楷体_GB2312" w:hAnsi="宋体" w:cs="宋体" w:hint="eastAsia"/>
          <w:u w:val="single"/>
        </w:rPr>
        <w:t>8</w:t>
      </w:r>
      <w:r w:rsidR="00831AC7">
        <w:rPr>
          <w:rFonts w:ascii="楷体_GB2312" w:eastAsia="楷体_GB2312" w:hAnsi="宋体" w:cs="宋体" w:hint="eastAsia"/>
          <w:u w:val="single"/>
        </w:rPr>
        <w:t xml:space="preserve"> </w:t>
      </w:r>
      <w:r>
        <w:rPr>
          <w:rFonts w:ascii="楷体_GB2312" w:eastAsia="楷体_GB2312" w:hAnsi="宋体" w:cs="宋体" w:hint="eastAsia"/>
          <w:u w:val="single"/>
        </w:rPr>
        <w:t xml:space="preserve"> </w:t>
      </w:r>
      <w:r>
        <w:rPr>
          <w:rFonts w:ascii="楷体_GB2312" w:eastAsia="楷体_GB2312" w:hAnsi="宋体" w:cs="宋体"/>
        </w:rPr>
        <w:t>日</w:t>
      </w:r>
      <w:r>
        <w:rPr>
          <w:rFonts w:ascii="楷体_GB2312" w:eastAsia="楷体_GB2312" w:hAnsi="宋体" w:cs="宋体" w:hint="eastAsia"/>
        </w:rPr>
        <w:t xml:space="preserve">            </w:t>
      </w:r>
    </w:p>
    <w:p w:rsidR="008A3A4F" w:rsidRDefault="008A3A4F">
      <w:pPr>
        <w:rPr>
          <w:rFonts w:ascii="楷体_GB2312" w:eastAsia="楷体_GB2312" w:hAnsi="宋体" w:cs="宋体" w:hint="eastAsia"/>
          <w:b/>
          <w:sz w:val="40"/>
          <w:szCs w:val="40"/>
        </w:rPr>
      </w:pPr>
    </w:p>
    <w:p w:rsidR="008A3A4F" w:rsidRDefault="008A3A4F">
      <w:pPr>
        <w:jc w:val="center"/>
        <w:rPr>
          <w:rFonts w:hint="eastAsia"/>
        </w:rPr>
      </w:pPr>
    </w:p>
    <w:sectPr w:rsidR="008A3A4F">
      <w:pgSz w:w="11906" w:h="16838"/>
      <w:pgMar w:top="1418" w:right="1134" w:bottom="1134" w:left="1418" w:header="0" w:footer="0" w:gutter="0"/>
      <w:pgNumType w:fmt="numberInDash"/>
      <w:cols w:space="720"/>
      <w:docGrid w:type="linesAndChar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3B" w:rsidRDefault="00567B3B" w:rsidP="00A36D6C">
      <w:r>
        <w:separator/>
      </w:r>
    </w:p>
  </w:endnote>
  <w:endnote w:type="continuationSeparator" w:id="0">
    <w:p w:rsidR="00567B3B" w:rsidRDefault="00567B3B" w:rsidP="00A3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
    <w:altName w:val="黑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3B" w:rsidRDefault="00567B3B" w:rsidP="00A36D6C">
      <w:r>
        <w:separator/>
      </w:r>
    </w:p>
  </w:footnote>
  <w:footnote w:type="continuationSeparator" w:id="0">
    <w:p w:rsidR="00567B3B" w:rsidRDefault="00567B3B" w:rsidP="00A36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2D"/>
    <w:rsid w:val="00001654"/>
    <w:rsid w:val="00002AC5"/>
    <w:rsid w:val="000276B0"/>
    <w:rsid w:val="00041E4A"/>
    <w:rsid w:val="0004359F"/>
    <w:rsid w:val="00063176"/>
    <w:rsid w:val="00063B75"/>
    <w:rsid w:val="00065BCD"/>
    <w:rsid w:val="00072D5F"/>
    <w:rsid w:val="000917C3"/>
    <w:rsid w:val="00095674"/>
    <w:rsid w:val="00096C39"/>
    <w:rsid w:val="00096C7F"/>
    <w:rsid w:val="000B0626"/>
    <w:rsid w:val="000B6211"/>
    <w:rsid w:val="000B72DB"/>
    <w:rsid w:val="000C1031"/>
    <w:rsid w:val="000C3B0F"/>
    <w:rsid w:val="000E6481"/>
    <w:rsid w:val="000F3C61"/>
    <w:rsid w:val="000F7838"/>
    <w:rsid w:val="00102504"/>
    <w:rsid w:val="00114FB7"/>
    <w:rsid w:val="00127225"/>
    <w:rsid w:val="001412EF"/>
    <w:rsid w:val="00152FEE"/>
    <w:rsid w:val="00156964"/>
    <w:rsid w:val="001670A5"/>
    <w:rsid w:val="00174865"/>
    <w:rsid w:val="00177C23"/>
    <w:rsid w:val="00182110"/>
    <w:rsid w:val="001A1CBA"/>
    <w:rsid w:val="001A74CC"/>
    <w:rsid w:val="001B668B"/>
    <w:rsid w:val="001C0DED"/>
    <w:rsid w:val="001D0C28"/>
    <w:rsid w:val="001D537F"/>
    <w:rsid w:val="001E0BCC"/>
    <w:rsid w:val="001F3A1D"/>
    <w:rsid w:val="00213B9A"/>
    <w:rsid w:val="002351C2"/>
    <w:rsid w:val="0026240F"/>
    <w:rsid w:val="00263B92"/>
    <w:rsid w:val="002641D9"/>
    <w:rsid w:val="002720F7"/>
    <w:rsid w:val="00274E29"/>
    <w:rsid w:val="002840F9"/>
    <w:rsid w:val="0028704C"/>
    <w:rsid w:val="0028715A"/>
    <w:rsid w:val="002965C4"/>
    <w:rsid w:val="002A181A"/>
    <w:rsid w:val="002A507F"/>
    <w:rsid w:val="002C169D"/>
    <w:rsid w:val="002C55E3"/>
    <w:rsid w:val="002D0D0E"/>
    <w:rsid w:val="002D14E0"/>
    <w:rsid w:val="002D5390"/>
    <w:rsid w:val="002F51AF"/>
    <w:rsid w:val="00302920"/>
    <w:rsid w:val="00340EBD"/>
    <w:rsid w:val="00342900"/>
    <w:rsid w:val="00360448"/>
    <w:rsid w:val="00361C89"/>
    <w:rsid w:val="00367088"/>
    <w:rsid w:val="00387EBC"/>
    <w:rsid w:val="003A50B0"/>
    <w:rsid w:val="003A6792"/>
    <w:rsid w:val="003C2D4F"/>
    <w:rsid w:val="003C4C12"/>
    <w:rsid w:val="003C4C30"/>
    <w:rsid w:val="003C4CC8"/>
    <w:rsid w:val="003C59EC"/>
    <w:rsid w:val="003C7E57"/>
    <w:rsid w:val="003D140A"/>
    <w:rsid w:val="003D3C66"/>
    <w:rsid w:val="003F0BD7"/>
    <w:rsid w:val="003F389E"/>
    <w:rsid w:val="00405BEC"/>
    <w:rsid w:val="004060D7"/>
    <w:rsid w:val="00423B9D"/>
    <w:rsid w:val="00425EA4"/>
    <w:rsid w:val="004273DF"/>
    <w:rsid w:val="00432F4B"/>
    <w:rsid w:val="004424DB"/>
    <w:rsid w:val="00447CCA"/>
    <w:rsid w:val="00450B38"/>
    <w:rsid w:val="0045289C"/>
    <w:rsid w:val="00454792"/>
    <w:rsid w:val="00456150"/>
    <w:rsid w:val="0046108C"/>
    <w:rsid w:val="0046431E"/>
    <w:rsid w:val="004766B9"/>
    <w:rsid w:val="00493BAA"/>
    <w:rsid w:val="004969EC"/>
    <w:rsid w:val="004A75B9"/>
    <w:rsid w:val="004C5AE8"/>
    <w:rsid w:val="004D30B9"/>
    <w:rsid w:val="004E63B0"/>
    <w:rsid w:val="004F6AC9"/>
    <w:rsid w:val="0050682B"/>
    <w:rsid w:val="0051652D"/>
    <w:rsid w:val="005168BA"/>
    <w:rsid w:val="0051690B"/>
    <w:rsid w:val="005256CA"/>
    <w:rsid w:val="0052699E"/>
    <w:rsid w:val="005368B7"/>
    <w:rsid w:val="005479F5"/>
    <w:rsid w:val="00556A56"/>
    <w:rsid w:val="0056048A"/>
    <w:rsid w:val="00567B3B"/>
    <w:rsid w:val="00574DAE"/>
    <w:rsid w:val="00580ABE"/>
    <w:rsid w:val="0058621A"/>
    <w:rsid w:val="00593F09"/>
    <w:rsid w:val="005B236B"/>
    <w:rsid w:val="005B5ECE"/>
    <w:rsid w:val="005C2BB5"/>
    <w:rsid w:val="005C4985"/>
    <w:rsid w:val="005D67B0"/>
    <w:rsid w:val="005D7FF7"/>
    <w:rsid w:val="005E1F8C"/>
    <w:rsid w:val="005F5055"/>
    <w:rsid w:val="005F581A"/>
    <w:rsid w:val="00613EE7"/>
    <w:rsid w:val="006427E6"/>
    <w:rsid w:val="006478AD"/>
    <w:rsid w:val="00655264"/>
    <w:rsid w:val="00655471"/>
    <w:rsid w:val="006704D4"/>
    <w:rsid w:val="00675145"/>
    <w:rsid w:val="006B244B"/>
    <w:rsid w:val="006B3C04"/>
    <w:rsid w:val="006B649F"/>
    <w:rsid w:val="006B780F"/>
    <w:rsid w:val="006C040B"/>
    <w:rsid w:val="006E282A"/>
    <w:rsid w:val="006F40D0"/>
    <w:rsid w:val="00701E04"/>
    <w:rsid w:val="00705B1E"/>
    <w:rsid w:val="00706C44"/>
    <w:rsid w:val="0072319B"/>
    <w:rsid w:val="00724F06"/>
    <w:rsid w:val="00753275"/>
    <w:rsid w:val="00754705"/>
    <w:rsid w:val="00756E20"/>
    <w:rsid w:val="00767AFE"/>
    <w:rsid w:val="0078583B"/>
    <w:rsid w:val="007A5BEC"/>
    <w:rsid w:val="007B02AA"/>
    <w:rsid w:val="007B21EE"/>
    <w:rsid w:val="007B2978"/>
    <w:rsid w:val="007C15F9"/>
    <w:rsid w:val="007D40E9"/>
    <w:rsid w:val="007E0657"/>
    <w:rsid w:val="007E219B"/>
    <w:rsid w:val="007F0D2E"/>
    <w:rsid w:val="007F258D"/>
    <w:rsid w:val="008103A0"/>
    <w:rsid w:val="00813068"/>
    <w:rsid w:val="00822162"/>
    <w:rsid w:val="00831AC7"/>
    <w:rsid w:val="00840C6B"/>
    <w:rsid w:val="00854B70"/>
    <w:rsid w:val="008558DF"/>
    <w:rsid w:val="00863307"/>
    <w:rsid w:val="008673B2"/>
    <w:rsid w:val="00873452"/>
    <w:rsid w:val="00887711"/>
    <w:rsid w:val="00890BC7"/>
    <w:rsid w:val="008962E9"/>
    <w:rsid w:val="008A1363"/>
    <w:rsid w:val="008A3A4F"/>
    <w:rsid w:val="008C38CA"/>
    <w:rsid w:val="008C4818"/>
    <w:rsid w:val="008D7C22"/>
    <w:rsid w:val="00900B2A"/>
    <w:rsid w:val="00914FA3"/>
    <w:rsid w:val="00916FB4"/>
    <w:rsid w:val="00943B4D"/>
    <w:rsid w:val="00973343"/>
    <w:rsid w:val="00975713"/>
    <w:rsid w:val="009972F7"/>
    <w:rsid w:val="009C31C2"/>
    <w:rsid w:val="009E6C32"/>
    <w:rsid w:val="009F3329"/>
    <w:rsid w:val="009F4B13"/>
    <w:rsid w:val="009F5689"/>
    <w:rsid w:val="00A014FD"/>
    <w:rsid w:val="00A015C8"/>
    <w:rsid w:val="00A172D7"/>
    <w:rsid w:val="00A20605"/>
    <w:rsid w:val="00A20D6B"/>
    <w:rsid w:val="00A30D75"/>
    <w:rsid w:val="00A36D6C"/>
    <w:rsid w:val="00A4472B"/>
    <w:rsid w:val="00A45307"/>
    <w:rsid w:val="00A61F80"/>
    <w:rsid w:val="00A6627D"/>
    <w:rsid w:val="00A75450"/>
    <w:rsid w:val="00A774E7"/>
    <w:rsid w:val="00A85BE8"/>
    <w:rsid w:val="00A91509"/>
    <w:rsid w:val="00A977B7"/>
    <w:rsid w:val="00AA6629"/>
    <w:rsid w:val="00AB304E"/>
    <w:rsid w:val="00AB732F"/>
    <w:rsid w:val="00AC0AE7"/>
    <w:rsid w:val="00AD4C2E"/>
    <w:rsid w:val="00AE3C2F"/>
    <w:rsid w:val="00AF0E44"/>
    <w:rsid w:val="00B01D1A"/>
    <w:rsid w:val="00B030E8"/>
    <w:rsid w:val="00B07A8D"/>
    <w:rsid w:val="00B10551"/>
    <w:rsid w:val="00B11FEA"/>
    <w:rsid w:val="00B17ED4"/>
    <w:rsid w:val="00B25988"/>
    <w:rsid w:val="00B27147"/>
    <w:rsid w:val="00B30B33"/>
    <w:rsid w:val="00B36B92"/>
    <w:rsid w:val="00B41469"/>
    <w:rsid w:val="00B46F78"/>
    <w:rsid w:val="00B637E2"/>
    <w:rsid w:val="00B8049F"/>
    <w:rsid w:val="00B80628"/>
    <w:rsid w:val="00B94456"/>
    <w:rsid w:val="00B96A40"/>
    <w:rsid w:val="00B97D7D"/>
    <w:rsid w:val="00BD522D"/>
    <w:rsid w:val="00BE18DE"/>
    <w:rsid w:val="00BE1CCF"/>
    <w:rsid w:val="00BF0A2C"/>
    <w:rsid w:val="00C044B0"/>
    <w:rsid w:val="00C10D7E"/>
    <w:rsid w:val="00C13929"/>
    <w:rsid w:val="00C15AD0"/>
    <w:rsid w:val="00C20CD1"/>
    <w:rsid w:val="00C2605F"/>
    <w:rsid w:val="00C473D1"/>
    <w:rsid w:val="00C47965"/>
    <w:rsid w:val="00C47AFA"/>
    <w:rsid w:val="00C51AF4"/>
    <w:rsid w:val="00C55F2D"/>
    <w:rsid w:val="00C663D6"/>
    <w:rsid w:val="00C80AD5"/>
    <w:rsid w:val="00C820C2"/>
    <w:rsid w:val="00C923AD"/>
    <w:rsid w:val="00CA322F"/>
    <w:rsid w:val="00CA71F8"/>
    <w:rsid w:val="00CB6D91"/>
    <w:rsid w:val="00CC02FD"/>
    <w:rsid w:val="00CD666C"/>
    <w:rsid w:val="00CE5FCD"/>
    <w:rsid w:val="00CF1984"/>
    <w:rsid w:val="00CF489F"/>
    <w:rsid w:val="00D2494B"/>
    <w:rsid w:val="00D31DF8"/>
    <w:rsid w:val="00D3253D"/>
    <w:rsid w:val="00D341E8"/>
    <w:rsid w:val="00D83060"/>
    <w:rsid w:val="00DA1F9F"/>
    <w:rsid w:val="00DA6A37"/>
    <w:rsid w:val="00DB06D8"/>
    <w:rsid w:val="00DB0FBE"/>
    <w:rsid w:val="00DE19D4"/>
    <w:rsid w:val="00DF1BDF"/>
    <w:rsid w:val="00E0249A"/>
    <w:rsid w:val="00E02537"/>
    <w:rsid w:val="00E07D30"/>
    <w:rsid w:val="00E13D49"/>
    <w:rsid w:val="00E214C7"/>
    <w:rsid w:val="00E26315"/>
    <w:rsid w:val="00E400DB"/>
    <w:rsid w:val="00E701AB"/>
    <w:rsid w:val="00E728B4"/>
    <w:rsid w:val="00E85D47"/>
    <w:rsid w:val="00EB0C17"/>
    <w:rsid w:val="00EB2B17"/>
    <w:rsid w:val="00EB6E9A"/>
    <w:rsid w:val="00EE2D4D"/>
    <w:rsid w:val="00EE32C7"/>
    <w:rsid w:val="00EE5546"/>
    <w:rsid w:val="00F23D25"/>
    <w:rsid w:val="00F57A52"/>
    <w:rsid w:val="00F63E54"/>
    <w:rsid w:val="00F6541A"/>
    <w:rsid w:val="00F70EB0"/>
    <w:rsid w:val="00F73F4B"/>
    <w:rsid w:val="00F81912"/>
    <w:rsid w:val="00F90CAB"/>
    <w:rsid w:val="00F938EB"/>
    <w:rsid w:val="00F96726"/>
    <w:rsid w:val="00F96954"/>
    <w:rsid w:val="00F971A4"/>
    <w:rsid w:val="00FC3FC6"/>
    <w:rsid w:val="00FC6563"/>
    <w:rsid w:val="00FD6C31"/>
    <w:rsid w:val="00FE17BE"/>
    <w:rsid w:val="00FE4583"/>
    <w:rsid w:val="00FF62E9"/>
    <w:rsid w:val="064609A9"/>
    <w:rsid w:val="0A626F33"/>
    <w:rsid w:val="0A8C3F49"/>
    <w:rsid w:val="11CB73D8"/>
    <w:rsid w:val="1A243A21"/>
    <w:rsid w:val="258F22A2"/>
    <w:rsid w:val="2A110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C45550-E2EA-4166-A92E-0FC683F6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uiPriority w:val="99"/>
    <w:unhideWhenUsed/>
    <w:rPr>
      <w:sz w:val="21"/>
      <w:szCs w:val="21"/>
    </w:rPr>
  </w:style>
  <w:style w:type="character" w:customStyle="1" w:styleId="Char">
    <w:name w:val="纯文本 Char"/>
    <w:basedOn w:val="a0"/>
    <w:link w:val="a5"/>
    <w:rPr>
      <w:rFonts w:ascii="宋体" w:hAnsi="Courier New" w:cs="宋体"/>
      <w:kern w:val="2"/>
      <w:sz w:val="21"/>
      <w:szCs w:val="21"/>
    </w:rPr>
  </w:style>
  <w:style w:type="character" w:customStyle="1" w:styleId="Char0">
    <w:name w:val="批注文字 Char"/>
    <w:link w:val="a6"/>
    <w:uiPriority w:val="99"/>
    <w:rPr>
      <w:kern w:val="2"/>
      <w:sz w:val="21"/>
      <w:szCs w:val="24"/>
    </w:rPr>
  </w:style>
  <w:style w:type="character" w:customStyle="1" w:styleId="Char1">
    <w:name w:val="批注框文本 Char"/>
    <w:basedOn w:val="a0"/>
    <w:link w:val="a7"/>
    <w:rPr>
      <w:rFonts w:eastAsia="方正仿宋"/>
      <w:kern w:val="2"/>
      <w:sz w:val="18"/>
      <w:szCs w:val="18"/>
    </w:rPr>
  </w:style>
  <w:style w:type="character" w:customStyle="1" w:styleId="Char10">
    <w:name w:val="批注文字 Char1"/>
    <w:basedOn w:val="a0"/>
    <w:link w:val="a6"/>
    <w:rPr>
      <w:rFonts w:eastAsia="方正仿宋"/>
      <w:kern w:val="2"/>
      <w:sz w:val="32"/>
      <w:szCs w:val="32"/>
    </w:rPr>
  </w:style>
  <w:style w:type="character" w:customStyle="1" w:styleId="Char2">
    <w:name w:val="日期 Char"/>
    <w:basedOn w:val="a0"/>
    <w:link w:val="a8"/>
    <w:rPr>
      <w:rFonts w:eastAsia="方正仿宋"/>
      <w:kern w:val="2"/>
      <w:sz w:val="32"/>
      <w:szCs w:val="32"/>
    </w:rPr>
  </w:style>
  <w:style w:type="paragraph" w:styleId="a8">
    <w:name w:val="Date"/>
    <w:basedOn w:val="a"/>
    <w:next w:val="a"/>
    <w:link w:val="Char2"/>
    <w:pPr>
      <w:ind w:leftChars="2500" w:left="100"/>
    </w:p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7">
    <w:name w:val="Balloon Text"/>
    <w:basedOn w:val="a"/>
    <w:link w:val="Char1"/>
    <w:rPr>
      <w:sz w:val="18"/>
      <w:szCs w:val="18"/>
    </w:rPr>
  </w:style>
  <w:style w:type="paragraph" w:styleId="a5">
    <w:name w:val="Plain Text"/>
    <w:basedOn w:val="a"/>
    <w:link w:val="Char"/>
    <w:rPr>
      <w:rFonts w:ascii="宋体" w:eastAsia="宋体" w:hAnsi="Courier New" w:cs="宋体"/>
      <w:sz w:val="21"/>
      <w:szCs w:val="21"/>
    </w:rPr>
  </w:style>
  <w:style w:type="paragraph" w:styleId="a6">
    <w:name w:val="annotation text"/>
    <w:basedOn w:val="a"/>
    <w:link w:val="Char0"/>
    <w:uiPriority w:val="99"/>
    <w:unhideWhenUsed/>
    <w:pPr>
      <w:jc w:val="left"/>
    </w:pPr>
    <w:rPr>
      <w:rFonts w:eastAsia="宋体"/>
      <w:sz w:val="21"/>
      <w:szCs w:val="24"/>
      <w:lang w:val="x-none" w:eastAsia="x-non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1201</Characters>
  <Application>Microsoft Office Word</Application>
  <DocSecurity>0</DocSecurity>
  <PresentationFormat/>
  <Lines>10</Lines>
  <Paragraphs>2</Paragraphs>
  <Slides>0</Slides>
  <Notes>0</Notes>
  <HiddenSlides>0</HiddenSlides>
  <MMClips>0</MMClips>
  <ScaleCrop>false</ScaleCrop>
  <Company>微软中国</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黄忠大道B8线建渣清运工程 </dc:title>
  <dc:subject/>
  <dc:creator>微软用户</dc:creator>
  <cp:keywords/>
  <cp:lastModifiedBy>dell</cp:lastModifiedBy>
  <cp:revision>2</cp:revision>
  <cp:lastPrinted>2018-08-16T02:25:00Z</cp:lastPrinted>
  <dcterms:created xsi:type="dcterms:W3CDTF">2021-04-08T08:28:00Z</dcterms:created>
  <dcterms:modified xsi:type="dcterms:W3CDTF">2021-04-08T08:28:00Z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