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成华区青龙街道海滨湾社区5组、新山社区4组/锦江区成龙街道棬子树村1、2组新建住宅及配套设施项目指纹锁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540" w:type="dxa"/>
        <w:tblInd w:w="-487" w:type="dxa"/>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71"/>
        <w:gridCol w:w="1509"/>
        <w:gridCol w:w="970"/>
        <w:gridCol w:w="1230"/>
        <w:gridCol w:w="990"/>
        <w:gridCol w:w="680"/>
        <w:gridCol w:w="1190"/>
        <w:gridCol w:w="1500"/>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8069"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成华区青龙街道海滨湾社区5组、新山社区4组/锦江区成龙街道棬子树村1、2组新建住宅及配套设施项目指纹锁二标段（127亩升级包）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70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70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70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70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2023年10月24日10时00分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70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2023年11月17日~2023年11月20</w:t>
            </w:r>
            <w:bookmarkStart w:id="0" w:name="_GoBack"/>
            <w:bookmarkEnd w:id="0"/>
            <w:r>
              <w:rPr>
                <w:rFonts w:hint="eastAsia" w:ascii="方正仿宋_GBK" w:hAnsi="方正仿宋_GBK" w:eastAsia="方正仿宋_GBK" w:cs="方正仿宋_GBK"/>
                <w:kern w:val="0"/>
                <w:sz w:val="28"/>
                <w:szCs w:val="28"/>
                <w:lang w:val="en-US" w:eastAsia="zh-CN" w:bidi="ar"/>
              </w:rPr>
              <w:t>日</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380542.76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四川众合创一智能科技有限公司</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343356.2</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343356.2</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97.67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第二名</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成都巨力威智能科技有限公司</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356435</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356435</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87.86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第三名</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四川品一科技有限公司</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364103</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364103</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81.29</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0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19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3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150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9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8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0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19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3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150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9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8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0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19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3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150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9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8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7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540"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4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9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9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8069"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2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6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6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8069"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8069"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8069"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47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8069"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3950"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590"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0" w:hRule="atLeast"/>
        </w:trPr>
        <w:tc>
          <w:tcPr>
            <w:tcW w:w="3950"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590"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3B65A0F"/>
    <w:rsid w:val="0CFB517E"/>
    <w:rsid w:val="2BF20BE8"/>
    <w:rsid w:val="4A0C2D90"/>
    <w:rsid w:val="56556302"/>
    <w:rsid w:val="6D12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2023-11-08T09:41:00Z</dcterms:created>
  <dc:creator>zouhl</dc:creator>
  <cp:lastModifiedBy>ZY</cp:lastModifiedBy>
  <dcterms:modified xsi:type="dcterms:W3CDTF">2023-11-15T03:50:45Z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A79628FA1C354C5CAFB6A650589B03B2_12</vt:lpwstr>
  </property>
  <property fmtid="{D5CDD505-2E9C-101B-9397-08002B2CF9AE}" pid="4" name="_IPGFID">
    <vt:lpwstr>[DocID]=6CB5157F-3439-42AA-B44F-08C287852284</vt:lpwstr>
  </property>
  <property fmtid="{D5CDD505-2E9C-101B-9397-08002B2CF9AE}" pid="5" name="_IPGFLOW_P-B5B0_E-0_CV-88520CEC_CN-3CB59D4E">
    <vt:lpwstr>DPFPMK|3|50|1|0</vt:lpwstr>
  </property>
  <property fmtid="{D5CDD505-2E9C-101B-9397-08002B2CF9AE}" pid="6" name="_IPGFLOW_P-B5B0_E-1_FP-1_SP-1_CV-A1C242B9_CN-460029DC">
    <vt:lpwstr>vLGiQtsJNn35cq4s+aSkk/5js18SFiZmOIivDeH9R+TPPpLiGbP/sGkrzYLdoGmPjS5Fu1bcRfIxZUn9NwlU1nD1nQidmdfAOldfqGA2+TZnDA5cnDiWIREOmgoLmqAngl+qekKhmgGoFJVVEPvbuXFfxqM1vKEgLVnGpSDHaVkS7eIFy6W8OxhlTs071fdFhtmN9F71gc5ykcL76TIevFR0DQrQlJbiUS11k29mIYPW/7vHMnDkyhp85c1WOe+</vt:lpwstr>
  </property>
  <property fmtid="{D5CDD505-2E9C-101B-9397-08002B2CF9AE}" pid="7" name="_IPGFLOW_P-B5B0_E-1_FP-1_SP-2_CV-92492736_CN-515B11D3">
    <vt:lpwstr>Y9cqwr5WcGX2VUQbMzlb3CpelHrng+KZSuMFB15aAHWcXhehiyAjcXrJNoH2UhoifX8PCModvlsW819emDHyVL60xQOXGnXrz8fViyWQu3+5FGb0GD/XGEtvEbTNAxN0GsZvfEmNtelnlH4xmoZLYcc4UQgnBD1ZuSZI3/PdhVOk=</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