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成华区青龙街道海滨湾社区5组、新山社区4组/锦江区成龙街道棬子树村1、2组新建住宅及配套设施项目新风系统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550" w:type="dxa"/>
        <w:tblInd w:w="-397" w:type="dxa"/>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40"/>
        <w:gridCol w:w="1960"/>
        <w:gridCol w:w="1110"/>
        <w:gridCol w:w="648"/>
        <w:gridCol w:w="762"/>
        <w:gridCol w:w="169"/>
        <w:gridCol w:w="1141"/>
        <w:gridCol w:w="80"/>
        <w:gridCol w:w="898"/>
        <w:gridCol w:w="132"/>
        <w:gridCol w:w="1210"/>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110"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成华区青龙街道海滨湾社区5组、新山社区4组/锦江区成龙街道棬子树村1、2组新建住宅及配套设施项目新风系统成华项目（48亩）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7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7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7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7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2023年10月24日10时00分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7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1274479.28</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四川逸瑞远建筑工程有限公司</w:t>
            </w: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1166795.61</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1166795.61</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93.33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福建瑞博恩环境科技有限公司</w:t>
            </w: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1182602.3</w:t>
            </w:r>
          </w:p>
        </w:tc>
        <w:tc>
          <w:tcPr>
            <w:tcW w:w="2152"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1182602.3</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90.82</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96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89"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61"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96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9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1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96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89"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61"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96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9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1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50"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910" w:type="dxa"/>
            <w:gridSpan w:val="6"/>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910" w:type="dxa"/>
            <w:gridSpan w:val="6"/>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110"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689"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22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9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689"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成都市发展和改革委员会</w:t>
            </w:r>
          </w:p>
        </w:tc>
        <w:tc>
          <w:tcPr>
            <w:tcW w:w="122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24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028-61886168</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110" w:type="dxa"/>
            <w:gridSpan w:val="10"/>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4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8110" w:type="dxa"/>
            <w:gridSpan w:val="10"/>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8110" w:type="dxa"/>
            <w:gridSpan w:val="10"/>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4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8110" w:type="dxa"/>
            <w:gridSpan w:val="10"/>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400"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6150" w:type="dxa"/>
            <w:gridSpan w:val="9"/>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400"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6150"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5A143B5"/>
    <w:rsid w:val="142F7891"/>
    <w:rsid w:val="1A5E3004"/>
    <w:rsid w:val="1FF350C8"/>
    <w:rsid w:val="35B2268B"/>
    <w:rsid w:val="46AB60BD"/>
    <w:rsid w:val="47E81FD1"/>
    <w:rsid w:val="6B3B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2023-11-08T09:38:00Z</dcterms:created>
  <dc:creator>zouhl</dc:creator>
  <cp:lastModifiedBy>ZY</cp:lastModifiedBy>
  <dcterms:modified xsi:type="dcterms:W3CDTF">2023-11-15T03:48:20Z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F6455C46DF6A4FD8B2BE748D1AF4AD7A_12</vt:lpwstr>
  </property>
  <property fmtid="{D5CDD505-2E9C-101B-9397-08002B2CF9AE}" pid="4" name="_IPGFID">
    <vt:lpwstr>[DocID]=91F55127-2384-45F6-B9E4-CF8FFB8BD1B1</vt:lpwstr>
  </property>
  <property fmtid="{D5CDD505-2E9C-101B-9397-08002B2CF9AE}" pid="5" name="_IPGFLOW_P-B5B0_E-0_CV-88520CEC_CN-3CB59D4E">
    <vt:lpwstr>DPFPMK|3|50|1|0</vt:lpwstr>
  </property>
  <property fmtid="{D5CDD505-2E9C-101B-9397-08002B2CF9AE}" pid="6" name="_IPGFLOW_P-B5B0_E-1_FP-1_SP-1_CV-B168065C_CN-8115E274">
    <vt:lpwstr>vLGiQtsJNn35cq4s+aSkk3hEkD0vy6VPK11LbMYL+u8Z5nAhLWuCNaKlCmCx1mYcGO4ohMdLOkTOLRhXRIUHAOKuVRD7SpS/LsBJI3B7jExPzun25GUkH9dxIahHdz0QV4tpt2y8Otgo4Jkgw+OSg7k/07oIPWbfI8Wkiets3tNMq6AEsZRO37jftAQYUzbjwy6NwvHDGHAL9cvckzzP25A4GrrnHeF+WmiUfCSHBXdgeOhnpIQ8qaq+kJIi+3C</vt:lpwstr>
  </property>
  <property fmtid="{D5CDD505-2E9C-101B-9397-08002B2CF9AE}" pid="7" name="_IPGFLOW_P-B5B0_E-1_FP-1_SP-2_CV-8EC99EA9_CN-AFDBFF4B">
    <vt:lpwstr>zxF4dOfhEdMljPdkXAUBVJkxZeTOp+zUCsRRCuiciNfBGn2/cknXh0yBQRRhrYNYzyWcUfcYcBOCQmKbo5PhjXu8+IdHgnYsshIS+BL3T6DVEvWDuZTSpfM1KrriK396E1vup+5uBc4AANnCaUissd3TjP1whTEjEjXcSNp4XGm4=</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