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高新区桂溪街道GX2022-01-03地块新建住宅及配套设施项目新风系统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评标结果公示</w:t>
      </w:r>
    </w:p>
    <w:tbl>
      <w:tblPr>
        <w:tblStyle w:val="7"/>
        <w:tblW w:w="9131" w:type="dxa"/>
        <w:jc w:val="center"/>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46"/>
        <w:gridCol w:w="1510"/>
        <w:gridCol w:w="590"/>
        <w:gridCol w:w="1220"/>
        <w:gridCol w:w="1160"/>
        <w:gridCol w:w="920"/>
        <w:gridCol w:w="1136"/>
        <w:gridCol w:w="1249"/>
      </w:tblGrid>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项目及标段名称</w:t>
            </w:r>
          </w:p>
        </w:tc>
        <w:tc>
          <w:tcPr>
            <w:tcW w:w="7785"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高新区桂溪街道GX2022-01-03地块新建住宅及配套设施项目新风系统升级包</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项目业主</w:t>
            </w:r>
          </w:p>
        </w:tc>
        <w:tc>
          <w:tcPr>
            <w:tcW w:w="332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成都城投锦盛置地有限公司</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项目业主联系电话</w:t>
            </w:r>
          </w:p>
        </w:tc>
        <w:tc>
          <w:tcPr>
            <w:tcW w:w="238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028-82628656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招标人</w:t>
            </w:r>
          </w:p>
        </w:tc>
        <w:tc>
          <w:tcPr>
            <w:tcW w:w="332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湖北千川门窗有限公司</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招标人联系电话</w:t>
            </w:r>
          </w:p>
        </w:tc>
        <w:tc>
          <w:tcPr>
            <w:tcW w:w="238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招标代理机构</w:t>
            </w:r>
          </w:p>
        </w:tc>
        <w:tc>
          <w:tcPr>
            <w:tcW w:w="332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招标代理机构联系电话</w:t>
            </w:r>
          </w:p>
        </w:tc>
        <w:tc>
          <w:tcPr>
            <w:tcW w:w="238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开标地点</w:t>
            </w:r>
          </w:p>
        </w:tc>
        <w:tc>
          <w:tcPr>
            <w:tcW w:w="332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成都国万国采交易平台</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开标时间</w:t>
            </w:r>
          </w:p>
        </w:tc>
        <w:tc>
          <w:tcPr>
            <w:tcW w:w="238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2023年10月23日10时00分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公示期</w:t>
            </w:r>
          </w:p>
        </w:tc>
        <w:tc>
          <w:tcPr>
            <w:tcW w:w="332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2023年11月17日~2023年11月20</w:t>
            </w:r>
            <w:bookmarkStart w:id="0" w:name="_GoBack"/>
            <w:bookmarkEnd w:id="0"/>
            <w:r>
              <w:rPr>
                <w:rFonts w:hint="eastAsia" w:ascii="方正仿宋_GBK" w:hAnsi="方正仿宋_GBK" w:eastAsia="方正仿宋_GBK" w:cs="方正仿宋_GBK"/>
                <w:sz w:val="28"/>
                <w:szCs w:val="28"/>
                <w:lang w:val="en-US" w:eastAsia="zh-CN"/>
              </w:rPr>
              <w:t>日</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投标最高限价(元)</w:t>
            </w:r>
          </w:p>
        </w:tc>
        <w:tc>
          <w:tcPr>
            <w:tcW w:w="238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1436597.73</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中标候选人及排序</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中标候选人名称</w:t>
            </w:r>
          </w:p>
        </w:tc>
        <w:tc>
          <w:tcPr>
            <w:tcW w:w="18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投标报价（元）</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经评审的投标价（元）</w:t>
            </w:r>
          </w:p>
        </w:tc>
        <w:tc>
          <w:tcPr>
            <w:tcW w:w="238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综合评标得分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第一名</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成都德裕隆机电工程有限公司</w:t>
            </w:r>
          </w:p>
        </w:tc>
        <w:tc>
          <w:tcPr>
            <w:tcW w:w="18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1320088.36</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1320088.36</w:t>
            </w:r>
          </w:p>
        </w:tc>
        <w:tc>
          <w:tcPr>
            <w:tcW w:w="238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97.67</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第二名</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四川名成机电安装工程有限公司</w:t>
            </w:r>
          </w:p>
        </w:tc>
        <w:tc>
          <w:tcPr>
            <w:tcW w:w="18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1401705.51</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1401705.51</w:t>
            </w:r>
          </w:p>
        </w:tc>
        <w:tc>
          <w:tcPr>
            <w:tcW w:w="238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86.15</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第三名</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四川鑫恒德机电设备有限公司</w:t>
            </w:r>
          </w:p>
        </w:tc>
        <w:tc>
          <w:tcPr>
            <w:tcW w:w="18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1356796.32</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1356796.32</w:t>
            </w:r>
          </w:p>
        </w:tc>
        <w:tc>
          <w:tcPr>
            <w:tcW w:w="238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83.89</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第一中标候选人项目管理机构主要人员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职务</w:t>
            </w:r>
          </w:p>
        </w:tc>
        <w:tc>
          <w:tcPr>
            <w:tcW w:w="1510"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姓名</w:t>
            </w:r>
          </w:p>
        </w:tc>
        <w:tc>
          <w:tcPr>
            <w:tcW w:w="297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执业或职业资格</w:t>
            </w:r>
          </w:p>
        </w:tc>
        <w:tc>
          <w:tcPr>
            <w:tcW w:w="330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p>
        </w:tc>
        <w:tc>
          <w:tcPr>
            <w:tcW w:w="1510"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p>
        </w:tc>
        <w:tc>
          <w:tcPr>
            <w:tcW w:w="18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证书名称</w:t>
            </w:r>
          </w:p>
        </w:tc>
        <w:tc>
          <w:tcPr>
            <w:tcW w:w="11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证书编号</w:t>
            </w:r>
          </w:p>
        </w:tc>
        <w:tc>
          <w:tcPr>
            <w:tcW w:w="205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职称专业</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项目负责人</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8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1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205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技术负责人</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8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1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205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第二中标候选人项目管理机构主要人员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职务</w:t>
            </w:r>
          </w:p>
        </w:tc>
        <w:tc>
          <w:tcPr>
            <w:tcW w:w="1510"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姓名</w:t>
            </w:r>
          </w:p>
        </w:tc>
        <w:tc>
          <w:tcPr>
            <w:tcW w:w="297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执业或职业资格</w:t>
            </w:r>
          </w:p>
        </w:tc>
        <w:tc>
          <w:tcPr>
            <w:tcW w:w="330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6"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p>
        </w:tc>
        <w:tc>
          <w:tcPr>
            <w:tcW w:w="1510"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p>
        </w:tc>
        <w:tc>
          <w:tcPr>
            <w:tcW w:w="18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证书名称</w:t>
            </w:r>
          </w:p>
        </w:tc>
        <w:tc>
          <w:tcPr>
            <w:tcW w:w="11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证书编号</w:t>
            </w:r>
          </w:p>
        </w:tc>
        <w:tc>
          <w:tcPr>
            <w:tcW w:w="205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职称专业</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项目负责人</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8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1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205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技术负责人</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8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1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205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第三中标候选人项目管理机构主要人员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6"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职务</w:t>
            </w:r>
          </w:p>
        </w:tc>
        <w:tc>
          <w:tcPr>
            <w:tcW w:w="1510"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姓名</w:t>
            </w:r>
          </w:p>
        </w:tc>
        <w:tc>
          <w:tcPr>
            <w:tcW w:w="297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执业或职业资格</w:t>
            </w:r>
          </w:p>
        </w:tc>
        <w:tc>
          <w:tcPr>
            <w:tcW w:w="330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p>
        </w:tc>
        <w:tc>
          <w:tcPr>
            <w:tcW w:w="1510"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p>
        </w:tc>
        <w:tc>
          <w:tcPr>
            <w:tcW w:w="18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证书名称</w:t>
            </w:r>
          </w:p>
        </w:tc>
        <w:tc>
          <w:tcPr>
            <w:tcW w:w="11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证书编号</w:t>
            </w:r>
          </w:p>
        </w:tc>
        <w:tc>
          <w:tcPr>
            <w:tcW w:w="205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职称专业</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项目负责人</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8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1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205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技术负责人</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81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16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205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1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第一中标候选人类似业绩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项目业主</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项目名称</w:t>
            </w:r>
          </w:p>
        </w:tc>
        <w:tc>
          <w:tcPr>
            <w:tcW w:w="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开工日期</w:t>
            </w:r>
          </w:p>
        </w:tc>
        <w:tc>
          <w:tcPr>
            <w:tcW w:w="12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竣工（交工）日期</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建设规模</w:t>
            </w:r>
          </w:p>
        </w:tc>
        <w:tc>
          <w:tcPr>
            <w:tcW w:w="11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合同价格（元）</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1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1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1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1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第一中标候选人项目负责人类似业绩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项目业主</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项目名称</w:t>
            </w:r>
          </w:p>
        </w:tc>
        <w:tc>
          <w:tcPr>
            <w:tcW w:w="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开工日期</w:t>
            </w:r>
          </w:p>
        </w:tc>
        <w:tc>
          <w:tcPr>
            <w:tcW w:w="12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竣工（交工）日期</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建设规模</w:t>
            </w:r>
          </w:p>
        </w:tc>
        <w:tc>
          <w:tcPr>
            <w:tcW w:w="11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合同价格（元）</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1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1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第一中标候选人技术负责人类似业绩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项目业主</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项目名称</w:t>
            </w:r>
          </w:p>
        </w:tc>
        <w:tc>
          <w:tcPr>
            <w:tcW w:w="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开工日期</w:t>
            </w:r>
          </w:p>
        </w:tc>
        <w:tc>
          <w:tcPr>
            <w:tcW w:w="12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竣工（交工）日期</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建设规模</w:t>
            </w:r>
          </w:p>
        </w:tc>
        <w:tc>
          <w:tcPr>
            <w:tcW w:w="11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合同价格（元）</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1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第二中标候选人类似业绩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项目业主</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项目名称</w:t>
            </w:r>
          </w:p>
        </w:tc>
        <w:tc>
          <w:tcPr>
            <w:tcW w:w="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开工日期</w:t>
            </w:r>
          </w:p>
        </w:tc>
        <w:tc>
          <w:tcPr>
            <w:tcW w:w="12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竣工（交工）日期</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建设规模</w:t>
            </w:r>
          </w:p>
        </w:tc>
        <w:tc>
          <w:tcPr>
            <w:tcW w:w="11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合同价格（元）</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1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1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1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第二中标候选人项目负责人类似业绩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项目业主</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项目名称</w:t>
            </w:r>
          </w:p>
        </w:tc>
        <w:tc>
          <w:tcPr>
            <w:tcW w:w="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开工日期</w:t>
            </w:r>
          </w:p>
        </w:tc>
        <w:tc>
          <w:tcPr>
            <w:tcW w:w="12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竣工（交工）日期</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建设规模</w:t>
            </w:r>
          </w:p>
        </w:tc>
        <w:tc>
          <w:tcPr>
            <w:tcW w:w="11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合同价格（元）</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1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第二中标候选人技术负责人类似业绩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项目业主</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项目名称</w:t>
            </w:r>
          </w:p>
        </w:tc>
        <w:tc>
          <w:tcPr>
            <w:tcW w:w="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开工日期</w:t>
            </w:r>
          </w:p>
        </w:tc>
        <w:tc>
          <w:tcPr>
            <w:tcW w:w="12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竣工（交工）日期</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建设规模</w:t>
            </w:r>
          </w:p>
        </w:tc>
        <w:tc>
          <w:tcPr>
            <w:tcW w:w="11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合同价格（元）</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1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1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第三中标候选人类似业绩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项目业主</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项目名称</w:t>
            </w:r>
          </w:p>
        </w:tc>
        <w:tc>
          <w:tcPr>
            <w:tcW w:w="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开工日期</w:t>
            </w:r>
          </w:p>
        </w:tc>
        <w:tc>
          <w:tcPr>
            <w:tcW w:w="12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竣工（交工）日期</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建设规模</w:t>
            </w:r>
          </w:p>
        </w:tc>
        <w:tc>
          <w:tcPr>
            <w:tcW w:w="11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合同价格（元）</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1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1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1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第三中标候选人项目负责人类似业绩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项目业主</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项目名称</w:t>
            </w:r>
          </w:p>
        </w:tc>
        <w:tc>
          <w:tcPr>
            <w:tcW w:w="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开工日期</w:t>
            </w:r>
          </w:p>
        </w:tc>
        <w:tc>
          <w:tcPr>
            <w:tcW w:w="12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竣工（交工）日期</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建设规模</w:t>
            </w:r>
          </w:p>
        </w:tc>
        <w:tc>
          <w:tcPr>
            <w:tcW w:w="11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合同价格（元）</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1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第三中标候选人技术负责人类似业绩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项目业主</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项目名称</w:t>
            </w:r>
          </w:p>
        </w:tc>
        <w:tc>
          <w:tcPr>
            <w:tcW w:w="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开工日期</w:t>
            </w:r>
          </w:p>
        </w:tc>
        <w:tc>
          <w:tcPr>
            <w:tcW w:w="12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竣工（交工）日期</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建设规模</w:t>
            </w:r>
          </w:p>
        </w:tc>
        <w:tc>
          <w:tcPr>
            <w:tcW w:w="11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合同价格（元）</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5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20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1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124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其他投标人（除中标候选人之外的）评审情况</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投标人名称</w:t>
            </w:r>
          </w:p>
        </w:tc>
        <w:tc>
          <w:tcPr>
            <w:tcW w:w="21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投标报价（元）或否决投标依据条款（投标文件被认定为不合格所依据的招标文件评标办法中的评审因素和评审标准的条款）</w:t>
            </w:r>
          </w:p>
        </w:tc>
        <w:tc>
          <w:tcPr>
            <w:tcW w:w="330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经评审的投标价（元）或否决投标理由（投标文件被认定为不合格的具体事实,不得简单地表述为未响应招标文件实质性内容、某处有问题等）</w:t>
            </w:r>
          </w:p>
        </w:tc>
        <w:tc>
          <w:tcPr>
            <w:tcW w:w="238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综合评标得分或备注</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21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330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c>
          <w:tcPr>
            <w:tcW w:w="238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其它需公示的内容</w:t>
            </w:r>
          </w:p>
        </w:tc>
        <w:tc>
          <w:tcPr>
            <w:tcW w:w="7785"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监督部门名称及监督电话</w:t>
            </w: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项目审批部门</w:t>
            </w:r>
          </w:p>
        </w:tc>
        <w:tc>
          <w:tcPr>
            <w:tcW w:w="297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w:t>
            </w:r>
          </w:p>
        </w:tc>
        <w:tc>
          <w:tcPr>
            <w:tcW w:w="9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联系电话</w:t>
            </w:r>
          </w:p>
        </w:tc>
        <w:tc>
          <w:tcPr>
            <w:tcW w:w="238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p>
        </w:tc>
        <w:tc>
          <w:tcPr>
            <w:tcW w:w="15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行业主管部门</w:t>
            </w:r>
          </w:p>
        </w:tc>
        <w:tc>
          <w:tcPr>
            <w:tcW w:w="297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w:t>
            </w:r>
          </w:p>
        </w:tc>
        <w:tc>
          <w:tcPr>
            <w:tcW w:w="9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联系电话</w:t>
            </w:r>
          </w:p>
        </w:tc>
        <w:tc>
          <w:tcPr>
            <w:tcW w:w="238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异议投诉注意事项</w:t>
            </w:r>
          </w:p>
        </w:tc>
        <w:tc>
          <w:tcPr>
            <w:tcW w:w="7785" w:type="dxa"/>
            <w:gridSpan w:val="7"/>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1.投标人或者其他利害关系人对依法必须进行招标的项目的评标结果有异议的，应当在中标候选人公示期间提出。招标人应当自收到异议之日起3日内作出答复；作出答复前，应当暂停招标投标活动。 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3.对评标结果的投诉，涉及投标人弄虚作假骗取中标的由行业主管部门负责受理，涉及评标错误或评标无效的由项目审批部门负责受理。 4.投诉人就同一事项向两个以上有权受理的行政监督部门投诉的，由最先收到投诉的行政监督部门负责处理。 5.应先提出异议没有提出异议，超过投诉时效等不符合受理条件的投诉，有关行政监督部门不予受理； 投诉人故意捏造事实、伪造证明材料或者以非法手段取得证明材料进行投诉，给他人造成损失的，依法承担赔偿责任。</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6"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p>
        </w:tc>
        <w:tc>
          <w:tcPr>
            <w:tcW w:w="7785"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p>
        </w:tc>
        <w:tc>
          <w:tcPr>
            <w:tcW w:w="7785"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6"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p>
        </w:tc>
        <w:tc>
          <w:tcPr>
            <w:tcW w:w="7785"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446" w:type="dxa"/>
            <w:gridSpan w:val="3"/>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招标人主要负责人签字、盖章:</w:t>
            </w:r>
          </w:p>
        </w:tc>
        <w:tc>
          <w:tcPr>
            <w:tcW w:w="5685" w:type="dxa"/>
            <w:gridSpan w:val="5"/>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招标代理机构主要负责人签字、盖章：</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446" w:type="dxa"/>
            <w:gridSpan w:val="3"/>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p>
        </w:tc>
        <w:tc>
          <w:tcPr>
            <w:tcW w:w="5685" w:type="dxa"/>
            <w:gridSpan w:val="5"/>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80" w:afterAutospacing="0" w:line="3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1F3149"/>
          <w:spacing w:val="0"/>
          <w:sz w:val="16"/>
          <w:szCs w:val="16"/>
          <w:shd w:val="clear" w:fill="FFFFFF"/>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rPr>
        <w:t>注</w:t>
      </w:r>
      <w:r>
        <w:rPr>
          <w:rFonts w:hint="eastAsia" w:ascii="方正仿宋_GBK" w:hAnsi="方正仿宋_GBK" w:eastAsia="方正仿宋_GBK" w:cs="方正仿宋_GBK"/>
          <w:sz w:val="32"/>
          <w:szCs w:val="32"/>
        </w:rPr>
        <w:t>：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2.中标候选人是联合体的，“中标候选人名称”中联合体各方的名称均应填写。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3.表中的“中标候选人类似业绩”和“中标候选人项目负责人类似业绩” 应填写中标候选人在投标文件中所附所有业绩。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5.表中的“开工日期”和“竣工日期”、“交工日期”以各有关行政监督部门相关规定为准。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6.日期（年月日）的格式统一以阿拉伯数字表示。如2015年9月1日，填写为20150901；又如2015年9月，填写为201509；再如2015年，填写为2015，2015/9/15 9:00:00填写为20150915－9:00:00。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7.表中的“合同价格”，是指承包人按合同约定完成了包括缺陷责任期内的全部承包工作后，发包人应付给承包人的金额，包括在履行合同过程中按合同约定进行的变更和调整。元指人民币元。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8.表中的“建设规模”采购招标应填写主要货物的数量、类型、规格等技术参数。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11.中标候选人公示纸质文本招标人须加盖单位公章，多页还应加盖骑缝章。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MjczODk4NmQzZDQ2ZmM4Y2I2Y2I4YzIxMmQ3YTMifQ=="/>
  </w:docVars>
  <w:rsids>
    <w:rsidRoot w:val="00000000"/>
    <w:rsid w:val="0CB44EBA"/>
    <w:rsid w:val="11354CB0"/>
    <w:rsid w:val="27AE1413"/>
    <w:rsid w:val="35CC14E4"/>
    <w:rsid w:val="3841566B"/>
    <w:rsid w:val="527F1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line="288" w:lineRule="atLeast"/>
      <w:jc w:val="center"/>
      <w:outlineLvl w:val="1"/>
    </w:pPr>
    <w:rPr>
      <w:rFonts w:ascii="Times New Roman" w:hAnsi="Times New Roman" w:eastAsia="方正黑体_GBK" w:cs="宋体"/>
      <w:b/>
      <w:bCs/>
      <w:kern w:val="0"/>
      <w:sz w:val="44"/>
      <w:szCs w:val="36"/>
      <w:lang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2023-11-08T09:42:00Z</dcterms:created>
  <dc:creator>zouhl</dc:creator>
  <cp:lastModifiedBy>ZY</cp:lastModifiedBy>
  <dcterms:modified xsi:type="dcterms:W3CDTF">2023-11-15T05:41:33Z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4AC6F64A06D54691B2D8311EC6CB00CD_12</vt:lpwstr>
  </property>
</Properties>
</file>