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高新区桂溪街道GX2022-01-03地块新建住宅及配套设施项目净水设备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9151"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82"/>
        <w:gridCol w:w="112"/>
        <w:gridCol w:w="1282"/>
        <w:gridCol w:w="717"/>
        <w:gridCol w:w="1273"/>
        <w:gridCol w:w="685"/>
        <w:gridCol w:w="734"/>
        <w:gridCol w:w="1675"/>
        <w:gridCol w:w="1491"/>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7857"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高新区桂溪街道GX2022-01-03地块新建住宅及配套设施项目净水设备升级包</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27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成都城投锦盛置地有限公司</w:t>
            </w:r>
          </w:p>
        </w:tc>
        <w:tc>
          <w:tcPr>
            <w:tcW w:w="141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3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27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41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3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27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41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3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27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41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3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2023年10月27日10时00分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27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2023年11月17日~2023年11月20</w:t>
            </w:r>
            <w:bookmarkStart w:id="0" w:name="_GoBack"/>
            <w:bookmarkEnd w:id="0"/>
            <w:r>
              <w:rPr>
                <w:rFonts w:hint="eastAsia" w:ascii="方正仿宋_GBK" w:hAnsi="方正仿宋_GBK" w:eastAsia="方正仿宋_GBK" w:cs="方正仿宋_GBK"/>
                <w:kern w:val="0"/>
                <w:sz w:val="28"/>
                <w:szCs w:val="28"/>
                <w:lang w:val="en-US" w:eastAsia="zh-CN" w:bidi="ar"/>
              </w:rPr>
              <w:t>日</w:t>
            </w:r>
          </w:p>
        </w:tc>
        <w:tc>
          <w:tcPr>
            <w:tcW w:w="141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3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800120.81</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3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19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41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3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第一名</w:t>
            </w:r>
          </w:p>
        </w:tc>
        <w:tc>
          <w:tcPr>
            <w:tcW w:w="13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成都上古环保科技有限公司</w:t>
            </w:r>
          </w:p>
        </w:tc>
        <w:tc>
          <w:tcPr>
            <w:tcW w:w="19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727448</w:t>
            </w:r>
          </w:p>
        </w:tc>
        <w:tc>
          <w:tcPr>
            <w:tcW w:w="141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727448</w:t>
            </w:r>
          </w:p>
        </w:tc>
        <w:tc>
          <w:tcPr>
            <w:tcW w:w="3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87.5</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5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2"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394" w:type="dxa"/>
            <w:gridSpan w:val="2"/>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67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9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2"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394"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68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40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4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3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0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3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9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8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0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5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3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7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41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67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4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7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7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7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5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3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7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41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67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4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7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5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3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7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41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67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4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7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7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9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5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199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269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3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9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69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3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857"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4" w:type="dxa"/>
            <w:gridSpan w:val="2"/>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2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67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73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3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4"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2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67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73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316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4" w:type="dxa"/>
            <w:gridSpan w:val="2"/>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857"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4"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857"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4"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857"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4"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857"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293" w:type="dxa"/>
            <w:gridSpan w:val="4"/>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858"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293" w:type="dxa"/>
            <w:gridSpan w:val="4"/>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5858"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29E05165"/>
    <w:rsid w:val="3A030D0A"/>
    <w:rsid w:val="3CB2517D"/>
    <w:rsid w:val="4F052E8B"/>
    <w:rsid w:val="6B571680"/>
    <w:rsid w:val="799E20A9"/>
    <w:rsid w:val="7B94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2023-11-08T09:34:00Z</dcterms:created>
  <dc:creator>zouhl</dc:creator>
  <cp:lastModifiedBy>ZY</cp:lastModifiedBy>
  <dcterms:modified xsi:type="dcterms:W3CDTF">2023-11-15T03:58:14Z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13F471970F8F48C881C644D459EC9C6B_12</vt:lpwstr>
  </property>
  <property fmtid="{D5CDD505-2E9C-101B-9397-08002B2CF9AE}" pid="4" name="_IPGFID">
    <vt:lpwstr>[DocID]=901156DC-D1B0-4D49-913D-ABA37A243A66</vt:lpwstr>
  </property>
  <property fmtid="{D5CDD505-2E9C-101B-9397-08002B2CF9AE}" pid="5" name="_IPGFLOW_P-B5B0_E-0_CV-88520CEC_CN-3CB59D4E">
    <vt:lpwstr>DPFPMK|3|50|1|0</vt:lpwstr>
  </property>
  <property fmtid="{D5CDD505-2E9C-101B-9397-08002B2CF9AE}" pid="6" name="_IPGFLOW_P-B5B0_E-1_FP-1_SP-1_CV-851E5CF9_CN-85ABB767">
    <vt:lpwstr>vLGiQtsJNn35cq4s+aSkk9cDkhSxyZVaG+ktgeG8aOVbIN52GJK6GR0JzJH+eVMbZkvlgkWEv+l1gsGxAJQ/eRvir+Zr1d+91WZV5yz4hz5MMeDKcLcuv3OJ7uIEVKXbLz7oOpGg0lC5wgt6VuB8e3LhXxAa6ERO5Bygw+cq+K7rnu6v5qWU+1p4rxAaGgJdOQ3uijRHTK/27RSs2nOi46dnZ+tZ/s7DSCYokohzWg0+Te9WLEJ2M8F30RiJ1f/</vt:lpwstr>
  </property>
  <property fmtid="{D5CDD505-2E9C-101B-9397-08002B2CF9AE}" pid="7" name="_IPGFLOW_P-B5B0_E-1_FP-1_SP-2_CV-BD21491_CN-879B1E73">
    <vt:lpwstr>lF2S2DjEEWgqjDork4UigMTMR1daqc3lcgrk7IMQ4nyFXATKm5mPJB9nOYgWtn7rT1HWco0N2C7ck+IUFvgqAKof0WyktOul0USiHoYqVzQ5PuXIauvzCY2WQftFmJhQTwr/UHSL9w1Dd+PfhD8AImqLY27ZrbK6O0LPkmNFDJck=</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