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成华区青龙街道海滨湾社区5组、新山社区4组/锦江区成龙街道棬子树村1、2组新建住宅及配套设施项目指纹锁采购及安装一标段（48亩及127亩基础包）第二次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341"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48"/>
        <w:gridCol w:w="1878"/>
        <w:gridCol w:w="612"/>
        <w:gridCol w:w="1311"/>
        <w:gridCol w:w="689"/>
        <w:gridCol w:w="1021"/>
        <w:gridCol w:w="931"/>
        <w:gridCol w:w="1551"/>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993"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auto"/>
                <w:spacing w:val="0"/>
                <w:kern w:val="0"/>
                <w:sz w:val="28"/>
                <w:szCs w:val="28"/>
                <w:lang w:val="en-US" w:eastAsia="zh-CN" w:bidi="ar"/>
              </w:rPr>
              <w:t>成华区青龙街道海滨湾社区5组、新山社区4组/锦江区成龙街道棬子树村1、2组新建住宅及配套设施项目指纹锁采购及安装一标段（48亩及127亩基础包）第二次</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80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80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80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80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2023年12月04日10时00分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80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2023年12月14日~2023年12月21</w:t>
            </w:r>
            <w:bookmarkStart w:id="0" w:name="_GoBack"/>
            <w:bookmarkEnd w:id="0"/>
            <w:r>
              <w:rPr>
                <w:rFonts w:hint="eastAsia" w:ascii="方正仿宋_GBK" w:hAnsi="方正仿宋_GBK" w:eastAsia="方正仿宋_GBK" w:cs="方正仿宋_GBK"/>
                <w:sz w:val="28"/>
                <w:szCs w:val="28"/>
                <w:lang w:val="en-US" w:eastAsia="zh-CN"/>
              </w:rPr>
              <w:t>日</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1523592.28</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成都一诺瑞德科技有限公司</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1111558.00</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1111558.00</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第二名</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四川艾塞尔智能科技有限公司</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1244791.00</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1244791.00</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80.18</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第三名</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四川省隆泰昌禾科技有限公司</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1223833.00</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1223833.00</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80.07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87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61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50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7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5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87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61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50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7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5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87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61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50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7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5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34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4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302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02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993"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192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7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48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993"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993"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993"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993"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838"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503"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838"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503"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jZmYjkxNDU2NWJmYzFmNWFiY2ZhYmYwMzA5ZmUifQ=="/>
  </w:docVars>
  <w:rsids>
    <w:rsidRoot w:val="00000000"/>
    <w:rsid w:val="059F7829"/>
    <w:rsid w:val="19DE010A"/>
    <w:rsid w:val="1C9C57DC"/>
    <w:rsid w:val="20D81D57"/>
    <w:rsid w:val="23E540AE"/>
    <w:rsid w:val="269365E4"/>
    <w:rsid w:val="27A65AE3"/>
    <w:rsid w:val="27E228ED"/>
    <w:rsid w:val="29E21495"/>
    <w:rsid w:val="2A133E00"/>
    <w:rsid w:val="31927D00"/>
    <w:rsid w:val="36932551"/>
    <w:rsid w:val="36AB1472"/>
    <w:rsid w:val="371B2546"/>
    <w:rsid w:val="37EB016A"/>
    <w:rsid w:val="3E684DDD"/>
    <w:rsid w:val="42FD6046"/>
    <w:rsid w:val="455410FD"/>
    <w:rsid w:val="4A590F64"/>
    <w:rsid w:val="4B647349"/>
    <w:rsid w:val="4C080E93"/>
    <w:rsid w:val="4C211F55"/>
    <w:rsid w:val="527C4637"/>
    <w:rsid w:val="59F44805"/>
    <w:rsid w:val="66D02156"/>
    <w:rsid w:val="68D54F1D"/>
    <w:rsid w:val="69E00902"/>
    <w:rsid w:val="6A2904FB"/>
    <w:rsid w:val="6BA918F3"/>
    <w:rsid w:val="6C663231"/>
    <w:rsid w:val="6DA00AE4"/>
    <w:rsid w:val="6E680D0F"/>
    <w:rsid w:val="71E9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qc</cp:lastModifiedBy>
  <dcterms:modified xsi:type="dcterms:W3CDTF">2023-12-11T06:42:56Z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