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0" w:firstLine="0"/>
        <w:jc w:val="center"/>
        <w:rPr>
          <w:rFonts w:ascii="微软雅黑" w:hAnsi="微软雅黑" w:eastAsia="微软雅黑" w:cs="微软雅黑"/>
          <w:b/>
          <w:i w:val="0"/>
          <w:caps w:val="0"/>
          <w:color w:val="4E5E6E"/>
          <w:spacing w:val="0"/>
          <w:sz w:val="27"/>
          <w:szCs w:val="27"/>
        </w:rPr>
      </w:pPr>
      <w:r>
        <w:rPr>
          <w:rFonts w:hint="eastAsia" w:ascii="微软雅黑" w:hAnsi="微软雅黑" w:eastAsia="微软雅黑" w:cs="微软雅黑"/>
          <w:b/>
          <w:i w:val="0"/>
          <w:caps w:val="0"/>
          <w:color w:val="4E5E6E"/>
          <w:spacing w:val="0"/>
          <w:kern w:val="0"/>
          <w:sz w:val="27"/>
          <w:szCs w:val="27"/>
          <w:lang w:val="en-US" w:eastAsia="zh-CN" w:bidi="ar"/>
        </w:rPr>
        <w:t>( 成洛简快速路工程（四环至五环段）/ 标 段 施 工 监 理)评标结果公示</w:t>
      </w:r>
    </w:p>
    <w:p>
      <w:pPr>
        <w:keepNext w:val="0"/>
        <w:keepLines w:val="0"/>
        <w:widowControl/>
        <w:suppressLineNumbers w:val="0"/>
        <w:spacing w:before="300" w:beforeAutospacing="0" w:after="150" w:afterAutospacing="0"/>
        <w:ind w:left="0" w:firstLine="0"/>
        <w:jc w:val="center"/>
        <w:rPr>
          <w:rFonts w:hint="eastAsia" w:ascii="微软雅黑" w:hAnsi="微软雅黑" w:eastAsia="微软雅黑" w:cs="微软雅黑"/>
          <w:i w:val="0"/>
          <w:caps w:val="0"/>
          <w:color w:val="9D9D9D"/>
          <w:spacing w:val="0"/>
          <w:sz w:val="18"/>
          <w:szCs w:val="18"/>
        </w:rPr>
      </w:pPr>
      <w:r>
        <w:rPr>
          <w:rFonts w:hint="eastAsia" w:ascii="微软雅黑" w:hAnsi="微软雅黑" w:eastAsia="微软雅黑" w:cs="微软雅黑"/>
          <w:i w:val="0"/>
          <w:caps w:val="0"/>
          <w:color w:val="9D9D9D"/>
          <w:spacing w:val="0"/>
          <w:kern w:val="0"/>
          <w:sz w:val="18"/>
          <w:szCs w:val="18"/>
          <w:lang w:val="en-US" w:eastAsia="zh-CN" w:bidi="ar"/>
        </w:rPr>
        <w:t>日期：2020-03-04</w:t>
      </w:r>
    </w:p>
    <w:tbl>
      <w:tblPr>
        <w:tblW w:w="83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22"/>
        <w:gridCol w:w="550"/>
        <w:gridCol w:w="1175"/>
        <w:gridCol w:w="1300"/>
        <w:gridCol w:w="812"/>
        <w:gridCol w:w="925"/>
        <w:gridCol w:w="1150"/>
        <w:gridCol w:w="879"/>
        <w:gridCol w:w="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0" w:hRule="atLeast"/>
        </w:trPr>
        <w:tc>
          <w:tcPr>
            <w:tcW w:w="1022" w:type="dxa"/>
            <w:tcBorders>
              <w:top w:val="single" w:color="DAE4EC" w:sz="6" w:space="0"/>
              <w:left w:val="single" w:color="DAE4EC" w:sz="6" w:space="0"/>
              <w:bottom w:val="single" w:color="DAE4EC" w:sz="6" w:space="0"/>
              <w:right w:val="single" w:color="DAE4EC" w:sz="6" w:space="0"/>
            </w:tcBorders>
            <w:shd w:val="clear"/>
            <w:vAlign w:val="center"/>
          </w:tcPr>
          <w:p>
            <w:pPr>
              <w:keepNext w:val="0"/>
              <w:keepLines w:val="0"/>
              <w:widowControl/>
              <w:suppressLineNumbers w:val="0"/>
              <w:spacing w:line="0" w:lineRule="atLeast"/>
              <w:jc w:val="left"/>
              <w:rPr>
                <w:sz w:val="0"/>
                <w:szCs w:val="0"/>
              </w:rPr>
            </w:pPr>
            <w:r>
              <w:rPr>
                <w:rFonts w:ascii="宋体" w:hAnsi="宋体" w:eastAsia="宋体" w:cs="宋体"/>
                <w:kern w:val="0"/>
                <w:sz w:val="0"/>
                <w:szCs w:val="0"/>
                <w:bdr w:val="none" w:color="auto" w:sz="0" w:space="0"/>
                <w:lang w:val="en-US" w:eastAsia="zh-CN" w:bidi="ar"/>
              </w:rPr>
              <w:t> </w:t>
            </w:r>
          </w:p>
        </w:tc>
        <w:tc>
          <w:tcPr>
            <w:tcW w:w="550" w:type="dxa"/>
            <w:tcBorders>
              <w:top w:val="single" w:color="DAE4EC" w:sz="6" w:space="0"/>
              <w:left w:val="single" w:color="DAE4EC" w:sz="6" w:space="0"/>
              <w:bottom w:val="single" w:color="DAE4EC" w:sz="6" w:space="0"/>
              <w:right w:val="single" w:color="DAE4EC" w:sz="6" w:space="0"/>
            </w:tcBorders>
            <w:shd w:val="clear"/>
            <w:vAlign w:val="center"/>
          </w:tcPr>
          <w:p>
            <w:pPr>
              <w:keepNext w:val="0"/>
              <w:keepLines w:val="0"/>
              <w:widowControl/>
              <w:suppressLineNumbers w:val="0"/>
              <w:spacing w:line="0" w:lineRule="atLeast"/>
              <w:jc w:val="left"/>
              <w:rPr>
                <w:sz w:val="0"/>
                <w:szCs w:val="0"/>
              </w:rPr>
            </w:pPr>
            <w:r>
              <w:rPr>
                <w:rFonts w:ascii="宋体" w:hAnsi="宋体" w:eastAsia="宋体" w:cs="宋体"/>
                <w:kern w:val="0"/>
                <w:sz w:val="0"/>
                <w:szCs w:val="0"/>
                <w:bdr w:val="none" w:color="auto" w:sz="0" w:space="0"/>
                <w:lang w:val="en-US" w:eastAsia="zh-CN" w:bidi="ar"/>
              </w:rPr>
              <w:t> </w:t>
            </w:r>
          </w:p>
        </w:tc>
        <w:tc>
          <w:tcPr>
            <w:tcW w:w="1175" w:type="dxa"/>
            <w:tcBorders>
              <w:top w:val="single" w:color="DAE4EC" w:sz="6" w:space="0"/>
              <w:left w:val="single" w:color="DAE4EC" w:sz="6" w:space="0"/>
              <w:bottom w:val="single" w:color="DAE4EC" w:sz="6" w:space="0"/>
              <w:right w:val="single" w:color="DAE4EC" w:sz="6" w:space="0"/>
            </w:tcBorders>
            <w:shd w:val="clear"/>
            <w:vAlign w:val="center"/>
          </w:tcPr>
          <w:p>
            <w:pPr>
              <w:keepNext w:val="0"/>
              <w:keepLines w:val="0"/>
              <w:widowControl/>
              <w:suppressLineNumbers w:val="0"/>
              <w:spacing w:line="0" w:lineRule="atLeast"/>
              <w:jc w:val="left"/>
              <w:rPr>
                <w:sz w:val="0"/>
                <w:szCs w:val="0"/>
              </w:rPr>
            </w:pPr>
            <w:r>
              <w:rPr>
                <w:rFonts w:ascii="宋体" w:hAnsi="宋体" w:eastAsia="宋体" w:cs="宋体"/>
                <w:kern w:val="0"/>
                <w:sz w:val="0"/>
                <w:szCs w:val="0"/>
                <w:bdr w:val="none" w:color="auto" w:sz="0" w:space="0"/>
                <w:lang w:val="en-US" w:eastAsia="zh-CN" w:bidi="ar"/>
              </w:rPr>
              <w:t> </w:t>
            </w:r>
          </w:p>
        </w:tc>
        <w:tc>
          <w:tcPr>
            <w:tcW w:w="1300" w:type="dxa"/>
            <w:tcBorders>
              <w:top w:val="single" w:color="DAE4EC" w:sz="6" w:space="0"/>
              <w:left w:val="single" w:color="DAE4EC" w:sz="6" w:space="0"/>
              <w:bottom w:val="single" w:color="DAE4EC" w:sz="6" w:space="0"/>
              <w:right w:val="single" w:color="DAE4EC" w:sz="6" w:space="0"/>
            </w:tcBorders>
            <w:shd w:val="clear"/>
            <w:vAlign w:val="center"/>
          </w:tcPr>
          <w:p>
            <w:pPr>
              <w:keepNext w:val="0"/>
              <w:keepLines w:val="0"/>
              <w:widowControl/>
              <w:suppressLineNumbers w:val="0"/>
              <w:spacing w:line="0" w:lineRule="atLeast"/>
              <w:jc w:val="left"/>
              <w:rPr>
                <w:sz w:val="0"/>
                <w:szCs w:val="0"/>
              </w:rPr>
            </w:pPr>
            <w:r>
              <w:rPr>
                <w:rFonts w:ascii="宋体" w:hAnsi="宋体" w:eastAsia="宋体" w:cs="宋体"/>
                <w:kern w:val="0"/>
                <w:sz w:val="0"/>
                <w:szCs w:val="0"/>
                <w:bdr w:val="none" w:color="auto" w:sz="0" w:space="0"/>
                <w:lang w:val="en-US" w:eastAsia="zh-CN" w:bidi="ar"/>
              </w:rPr>
              <w:t> </w:t>
            </w:r>
          </w:p>
        </w:tc>
        <w:tc>
          <w:tcPr>
            <w:tcW w:w="812" w:type="dxa"/>
            <w:tcBorders>
              <w:top w:val="single" w:color="DAE4EC" w:sz="6" w:space="0"/>
              <w:left w:val="single" w:color="DAE4EC" w:sz="6" w:space="0"/>
              <w:bottom w:val="single" w:color="DAE4EC" w:sz="6" w:space="0"/>
              <w:right w:val="single" w:color="DAE4EC" w:sz="6" w:space="0"/>
            </w:tcBorders>
            <w:shd w:val="clear"/>
            <w:vAlign w:val="center"/>
          </w:tcPr>
          <w:p>
            <w:pPr>
              <w:keepNext w:val="0"/>
              <w:keepLines w:val="0"/>
              <w:widowControl/>
              <w:suppressLineNumbers w:val="0"/>
              <w:spacing w:line="0" w:lineRule="atLeast"/>
              <w:jc w:val="left"/>
              <w:rPr>
                <w:sz w:val="0"/>
                <w:szCs w:val="0"/>
              </w:rPr>
            </w:pPr>
            <w:r>
              <w:rPr>
                <w:rFonts w:ascii="宋体" w:hAnsi="宋体" w:eastAsia="宋体" w:cs="宋体"/>
                <w:kern w:val="0"/>
                <w:sz w:val="0"/>
                <w:szCs w:val="0"/>
                <w:bdr w:val="none" w:color="auto" w:sz="0" w:space="0"/>
                <w:lang w:val="en-US" w:eastAsia="zh-CN" w:bidi="ar"/>
              </w:rPr>
              <w:t> </w:t>
            </w:r>
          </w:p>
        </w:tc>
        <w:tc>
          <w:tcPr>
            <w:tcW w:w="925" w:type="dxa"/>
            <w:tcBorders>
              <w:top w:val="single" w:color="DAE4EC" w:sz="6" w:space="0"/>
              <w:left w:val="single" w:color="DAE4EC" w:sz="6" w:space="0"/>
              <w:bottom w:val="single" w:color="DAE4EC" w:sz="6" w:space="0"/>
              <w:right w:val="single" w:color="DAE4EC" w:sz="6" w:space="0"/>
            </w:tcBorders>
            <w:shd w:val="clear"/>
            <w:vAlign w:val="center"/>
          </w:tcPr>
          <w:p>
            <w:pPr>
              <w:keepNext w:val="0"/>
              <w:keepLines w:val="0"/>
              <w:widowControl/>
              <w:suppressLineNumbers w:val="0"/>
              <w:spacing w:line="0" w:lineRule="atLeast"/>
              <w:jc w:val="left"/>
              <w:rPr>
                <w:sz w:val="0"/>
                <w:szCs w:val="0"/>
              </w:rPr>
            </w:pPr>
            <w:r>
              <w:rPr>
                <w:rFonts w:ascii="宋体" w:hAnsi="宋体" w:eastAsia="宋体" w:cs="宋体"/>
                <w:kern w:val="0"/>
                <w:sz w:val="0"/>
                <w:szCs w:val="0"/>
                <w:bdr w:val="none" w:color="auto" w:sz="0" w:space="0"/>
                <w:lang w:val="en-US" w:eastAsia="zh-CN" w:bidi="ar"/>
              </w:rPr>
              <w:t> </w:t>
            </w:r>
          </w:p>
        </w:tc>
        <w:tc>
          <w:tcPr>
            <w:tcW w:w="1150" w:type="dxa"/>
            <w:tcBorders>
              <w:top w:val="single" w:color="DAE4EC" w:sz="6" w:space="0"/>
              <w:left w:val="single" w:color="DAE4EC" w:sz="6" w:space="0"/>
              <w:bottom w:val="single" w:color="DAE4EC" w:sz="6" w:space="0"/>
              <w:right w:val="single" w:color="DAE4EC" w:sz="6" w:space="0"/>
            </w:tcBorders>
            <w:shd w:val="clear"/>
            <w:vAlign w:val="center"/>
          </w:tcPr>
          <w:p>
            <w:pPr>
              <w:keepNext w:val="0"/>
              <w:keepLines w:val="0"/>
              <w:widowControl/>
              <w:suppressLineNumbers w:val="0"/>
              <w:spacing w:line="0" w:lineRule="atLeast"/>
              <w:jc w:val="left"/>
              <w:rPr>
                <w:sz w:val="0"/>
                <w:szCs w:val="0"/>
              </w:rPr>
            </w:pPr>
            <w:r>
              <w:rPr>
                <w:rFonts w:ascii="宋体" w:hAnsi="宋体" w:eastAsia="宋体" w:cs="宋体"/>
                <w:kern w:val="0"/>
                <w:sz w:val="0"/>
                <w:szCs w:val="0"/>
                <w:bdr w:val="none" w:color="auto" w:sz="0" w:space="0"/>
                <w:lang w:val="en-US" w:eastAsia="zh-CN" w:bidi="ar"/>
              </w:rPr>
              <w:t> </w:t>
            </w:r>
          </w:p>
        </w:tc>
        <w:tc>
          <w:tcPr>
            <w:tcW w:w="879" w:type="dxa"/>
            <w:tcBorders>
              <w:top w:val="single" w:color="DAE4EC" w:sz="6" w:space="0"/>
              <w:left w:val="single" w:color="DAE4EC" w:sz="6" w:space="0"/>
              <w:bottom w:val="single" w:color="DAE4EC" w:sz="6" w:space="0"/>
              <w:right w:val="single" w:color="DAE4EC" w:sz="6" w:space="0"/>
            </w:tcBorders>
            <w:shd w:val="clear"/>
            <w:vAlign w:val="center"/>
          </w:tcPr>
          <w:p>
            <w:pPr>
              <w:keepNext w:val="0"/>
              <w:keepLines w:val="0"/>
              <w:widowControl/>
              <w:suppressLineNumbers w:val="0"/>
              <w:spacing w:line="0" w:lineRule="atLeast"/>
              <w:jc w:val="left"/>
              <w:rPr>
                <w:sz w:val="0"/>
                <w:szCs w:val="0"/>
              </w:rPr>
            </w:pPr>
            <w:r>
              <w:rPr>
                <w:rFonts w:ascii="宋体" w:hAnsi="宋体" w:eastAsia="宋体" w:cs="宋体"/>
                <w:kern w:val="0"/>
                <w:sz w:val="0"/>
                <w:szCs w:val="0"/>
                <w:bdr w:val="none" w:color="auto" w:sz="0" w:space="0"/>
                <w:lang w:val="en-US" w:eastAsia="zh-CN" w:bidi="ar"/>
              </w:rPr>
              <w:t> </w:t>
            </w:r>
          </w:p>
        </w:tc>
        <w:tc>
          <w:tcPr>
            <w:tcW w:w="501" w:type="dxa"/>
            <w:tcBorders>
              <w:top w:val="single" w:color="DAE4EC" w:sz="6" w:space="0"/>
              <w:left w:val="single" w:color="DAE4EC" w:sz="6" w:space="0"/>
              <w:bottom w:val="single" w:color="DAE4EC" w:sz="6" w:space="0"/>
              <w:right w:val="single" w:color="DAE4EC" w:sz="6" w:space="0"/>
            </w:tcBorders>
            <w:shd w:val="clear"/>
            <w:vAlign w:val="center"/>
          </w:tcPr>
          <w:p>
            <w:pPr>
              <w:keepNext w:val="0"/>
              <w:keepLines w:val="0"/>
              <w:widowControl/>
              <w:suppressLineNumbers w:val="0"/>
              <w:spacing w:line="0" w:lineRule="atLeast"/>
              <w:jc w:val="left"/>
              <w:rPr>
                <w:sz w:val="0"/>
                <w:szCs w:val="0"/>
              </w:rPr>
            </w:pPr>
            <w:r>
              <w:rPr>
                <w:rFonts w:ascii="宋体" w:hAnsi="宋体" w:eastAsia="宋体" w:cs="宋体"/>
                <w:kern w:val="0"/>
                <w:sz w:val="0"/>
                <w:szCs w:val="0"/>
                <w:bdr w:val="none" w:color="auto" w:sz="0" w:space="0"/>
                <w:lang w:val="en-US" w:eastAsia="zh-CN" w:bidi="ar"/>
              </w:rPr>
              <w:t> </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57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项目及标段名称</w:t>
            </w:r>
          </w:p>
        </w:tc>
        <w:tc>
          <w:tcPr>
            <w:tcW w:w="6742" w:type="dxa"/>
            <w:gridSpan w:val="7"/>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成洛简快速路工程（四环至五环段）/ 标 段 施 工 监 理</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57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项目业主</w:t>
            </w:r>
          </w:p>
        </w:tc>
        <w:tc>
          <w:tcPr>
            <w:tcW w:w="3287" w:type="dxa"/>
            <w:gridSpan w:val="3"/>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成都城投基础设施建设投资有限公司</w:t>
            </w:r>
          </w:p>
        </w:tc>
        <w:tc>
          <w:tcPr>
            <w:tcW w:w="207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项目业主联系电话</w:t>
            </w:r>
          </w:p>
        </w:tc>
        <w:tc>
          <w:tcPr>
            <w:tcW w:w="1380"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028-68814985</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57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招标人</w:t>
            </w:r>
          </w:p>
        </w:tc>
        <w:tc>
          <w:tcPr>
            <w:tcW w:w="3287" w:type="dxa"/>
            <w:gridSpan w:val="3"/>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成都城投基础设施建设投资有限公司</w:t>
            </w:r>
          </w:p>
        </w:tc>
        <w:tc>
          <w:tcPr>
            <w:tcW w:w="207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招标人联系电话</w:t>
            </w:r>
          </w:p>
        </w:tc>
        <w:tc>
          <w:tcPr>
            <w:tcW w:w="1380"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028-68814985</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tblCellMar>
            <w:top w:w="0" w:type="dxa"/>
            <w:left w:w="0" w:type="dxa"/>
            <w:bottom w:w="0" w:type="dxa"/>
            <w:right w:w="0" w:type="dxa"/>
          </w:tblCellMar>
        </w:tblPrEx>
        <w:tc>
          <w:tcPr>
            <w:tcW w:w="157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招标代理机构</w:t>
            </w:r>
          </w:p>
        </w:tc>
        <w:tc>
          <w:tcPr>
            <w:tcW w:w="3287" w:type="dxa"/>
            <w:gridSpan w:val="3"/>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中通建设工程管理有限公司</w:t>
            </w:r>
          </w:p>
        </w:tc>
        <w:tc>
          <w:tcPr>
            <w:tcW w:w="207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招标代理机构联系电话</w:t>
            </w:r>
          </w:p>
        </w:tc>
        <w:tc>
          <w:tcPr>
            <w:tcW w:w="1380"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028-83226053</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tblCellMar>
            <w:top w:w="0" w:type="dxa"/>
            <w:left w:w="0" w:type="dxa"/>
            <w:bottom w:w="0" w:type="dxa"/>
            <w:right w:w="0" w:type="dxa"/>
          </w:tblCellMar>
        </w:tblPrEx>
        <w:tc>
          <w:tcPr>
            <w:tcW w:w="157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开标地点</w:t>
            </w:r>
          </w:p>
        </w:tc>
        <w:tc>
          <w:tcPr>
            <w:tcW w:w="3287" w:type="dxa"/>
            <w:gridSpan w:val="3"/>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龙泉驿区分中心</w:t>
            </w:r>
          </w:p>
        </w:tc>
        <w:tc>
          <w:tcPr>
            <w:tcW w:w="207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开标时间</w:t>
            </w:r>
          </w:p>
        </w:tc>
        <w:tc>
          <w:tcPr>
            <w:tcW w:w="1380"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20200227 - 10:00:00</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57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公示期</w:t>
            </w:r>
          </w:p>
        </w:tc>
        <w:tc>
          <w:tcPr>
            <w:tcW w:w="3287" w:type="dxa"/>
            <w:gridSpan w:val="3"/>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2020年03月05日~2020年03月09日</w:t>
            </w:r>
          </w:p>
        </w:tc>
        <w:tc>
          <w:tcPr>
            <w:tcW w:w="207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投标最高限价(元)</w:t>
            </w:r>
          </w:p>
        </w:tc>
        <w:tc>
          <w:tcPr>
            <w:tcW w:w="1380"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18288900.00</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中标候选人及排序</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中标候选人名称</w:t>
            </w:r>
          </w:p>
        </w:tc>
        <w:tc>
          <w:tcPr>
            <w:tcW w:w="211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投标报价（元）</w:t>
            </w:r>
          </w:p>
        </w:tc>
        <w:tc>
          <w:tcPr>
            <w:tcW w:w="207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经评审的投标价（元）</w:t>
            </w:r>
          </w:p>
        </w:tc>
        <w:tc>
          <w:tcPr>
            <w:tcW w:w="1380"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综合评标得分</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第一名</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(牵头人)四川省吉宏工程项目管理有限公司,(成员)四川建科工程建设管理有限公司</w:t>
            </w:r>
          </w:p>
        </w:tc>
        <w:tc>
          <w:tcPr>
            <w:tcW w:w="211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17746655.21</w:t>
            </w:r>
          </w:p>
        </w:tc>
        <w:tc>
          <w:tcPr>
            <w:tcW w:w="207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17746655.21</w:t>
            </w:r>
          </w:p>
        </w:tc>
        <w:tc>
          <w:tcPr>
            <w:tcW w:w="1380"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95.83</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第二名</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(牵头人)成都久久工程项目管理有限公司,(成员)中鸿亿博集团有限公司</w:t>
            </w:r>
          </w:p>
        </w:tc>
        <w:tc>
          <w:tcPr>
            <w:tcW w:w="211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14081007.15</w:t>
            </w:r>
          </w:p>
        </w:tc>
        <w:tc>
          <w:tcPr>
            <w:tcW w:w="207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14081007.15</w:t>
            </w:r>
          </w:p>
        </w:tc>
        <w:tc>
          <w:tcPr>
            <w:tcW w:w="1380"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89.72</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第三名</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(牵头人)四川省天府兴通建设工程项目管理有限公司,(成员)四川省兴旺建设工程项目管理有限公司</w:t>
            </w:r>
          </w:p>
        </w:tc>
        <w:tc>
          <w:tcPr>
            <w:tcW w:w="211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17520000.00</w:t>
            </w:r>
          </w:p>
        </w:tc>
        <w:tc>
          <w:tcPr>
            <w:tcW w:w="207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17520000.00</w:t>
            </w:r>
          </w:p>
        </w:tc>
        <w:tc>
          <w:tcPr>
            <w:tcW w:w="1380"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85.76</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8314" w:type="dxa"/>
            <w:gridSpan w:val="9"/>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第一中标候选人项目管理机构主要人员</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vMerge w:val="restart"/>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职务</w:t>
            </w:r>
          </w:p>
        </w:tc>
        <w:tc>
          <w:tcPr>
            <w:tcW w:w="1725" w:type="dxa"/>
            <w:gridSpan w:val="2"/>
            <w:vMerge w:val="restart"/>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姓名</w:t>
            </w:r>
          </w:p>
        </w:tc>
        <w:tc>
          <w:tcPr>
            <w:tcW w:w="3037" w:type="dxa"/>
            <w:gridSpan w:val="3"/>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执业或职业资格</w:t>
            </w:r>
          </w:p>
        </w:tc>
        <w:tc>
          <w:tcPr>
            <w:tcW w:w="2530" w:type="dxa"/>
            <w:gridSpan w:val="3"/>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职称</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vMerge w:val="continue"/>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jc w:val="center"/>
              <w:rPr>
                <w:rFonts w:hint="eastAsia" w:ascii="宋体"/>
                <w:sz w:val="24"/>
                <w:szCs w:val="24"/>
              </w:rPr>
            </w:pPr>
          </w:p>
        </w:tc>
        <w:tc>
          <w:tcPr>
            <w:tcW w:w="1725" w:type="dxa"/>
            <w:gridSpan w:val="2"/>
            <w:vMerge w:val="continue"/>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jc w:val="center"/>
              <w:rPr>
                <w:rFonts w:hint="eastAsia" w:ascii="宋体"/>
                <w:sz w:val="24"/>
                <w:szCs w:val="24"/>
              </w:rPr>
            </w:pPr>
          </w:p>
        </w:tc>
        <w:tc>
          <w:tcPr>
            <w:tcW w:w="211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证书名称</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证书编号</w:t>
            </w:r>
          </w:p>
        </w:tc>
        <w:tc>
          <w:tcPr>
            <w:tcW w:w="2029"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职称专业</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级别</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项目负责人</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肖荣</w:t>
            </w:r>
          </w:p>
        </w:tc>
        <w:tc>
          <w:tcPr>
            <w:tcW w:w="211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交通运输部公路工程监理工程师证</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JGJ1133297</w:t>
            </w:r>
          </w:p>
        </w:tc>
        <w:tc>
          <w:tcPr>
            <w:tcW w:w="2029"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道路与桥梁</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高级工程师</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项目技术负责人</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211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2029"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8314" w:type="dxa"/>
            <w:gridSpan w:val="9"/>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第二中标候选人项目管理机构主要人员</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vMerge w:val="restart"/>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职务</w:t>
            </w:r>
          </w:p>
        </w:tc>
        <w:tc>
          <w:tcPr>
            <w:tcW w:w="1725" w:type="dxa"/>
            <w:gridSpan w:val="2"/>
            <w:vMerge w:val="restart"/>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姓名</w:t>
            </w:r>
          </w:p>
        </w:tc>
        <w:tc>
          <w:tcPr>
            <w:tcW w:w="3037" w:type="dxa"/>
            <w:gridSpan w:val="3"/>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执业或职业资格</w:t>
            </w:r>
          </w:p>
        </w:tc>
        <w:tc>
          <w:tcPr>
            <w:tcW w:w="2530" w:type="dxa"/>
            <w:gridSpan w:val="3"/>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职称</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vMerge w:val="continue"/>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jc w:val="center"/>
              <w:rPr>
                <w:rFonts w:hint="eastAsia" w:ascii="宋体"/>
                <w:sz w:val="24"/>
                <w:szCs w:val="24"/>
              </w:rPr>
            </w:pPr>
          </w:p>
        </w:tc>
        <w:tc>
          <w:tcPr>
            <w:tcW w:w="1725" w:type="dxa"/>
            <w:gridSpan w:val="2"/>
            <w:vMerge w:val="continue"/>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jc w:val="center"/>
              <w:rPr>
                <w:rFonts w:hint="eastAsia" w:ascii="宋体"/>
                <w:sz w:val="24"/>
                <w:szCs w:val="24"/>
              </w:rPr>
            </w:pPr>
          </w:p>
        </w:tc>
        <w:tc>
          <w:tcPr>
            <w:tcW w:w="211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证书名称</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证书编号</w:t>
            </w:r>
          </w:p>
        </w:tc>
        <w:tc>
          <w:tcPr>
            <w:tcW w:w="2029"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职称专业</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级别</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项目负责人</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林发均</w:t>
            </w:r>
          </w:p>
        </w:tc>
        <w:tc>
          <w:tcPr>
            <w:tcW w:w="211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交通部公路工程监理工程师</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JGJ1030189</w:t>
            </w:r>
          </w:p>
        </w:tc>
        <w:tc>
          <w:tcPr>
            <w:tcW w:w="2029"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JGJ1030189</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高级工程师</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项目技术负责人</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211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2029"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8314" w:type="dxa"/>
            <w:gridSpan w:val="9"/>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第三中标候选人项目管理机构主要人员</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vMerge w:val="restart"/>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职务</w:t>
            </w:r>
          </w:p>
        </w:tc>
        <w:tc>
          <w:tcPr>
            <w:tcW w:w="1725" w:type="dxa"/>
            <w:gridSpan w:val="2"/>
            <w:vMerge w:val="restart"/>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姓名</w:t>
            </w:r>
          </w:p>
        </w:tc>
        <w:tc>
          <w:tcPr>
            <w:tcW w:w="3037" w:type="dxa"/>
            <w:gridSpan w:val="3"/>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执业或职业资格</w:t>
            </w:r>
          </w:p>
        </w:tc>
        <w:tc>
          <w:tcPr>
            <w:tcW w:w="2530" w:type="dxa"/>
            <w:gridSpan w:val="3"/>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职称</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vMerge w:val="continue"/>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jc w:val="center"/>
              <w:rPr>
                <w:rFonts w:hint="eastAsia" w:ascii="宋体"/>
                <w:sz w:val="24"/>
                <w:szCs w:val="24"/>
              </w:rPr>
            </w:pPr>
          </w:p>
        </w:tc>
        <w:tc>
          <w:tcPr>
            <w:tcW w:w="1725" w:type="dxa"/>
            <w:gridSpan w:val="2"/>
            <w:vMerge w:val="continue"/>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jc w:val="center"/>
              <w:rPr>
                <w:rFonts w:hint="eastAsia" w:ascii="宋体"/>
                <w:sz w:val="24"/>
                <w:szCs w:val="24"/>
              </w:rPr>
            </w:pPr>
          </w:p>
        </w:tc>
        <w:tc>
          <w:tcPr>
            <w:tcW w:w="211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证书名称</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证书编号</w:t>
            </w:r>
          </w:p>
        </w:tc>
        <w:tc>
          <w:tcPr>
            <w:tcW w:w="2029"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职称专业</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级别</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项目负责人</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蒋家林</w:t>
            </w:r>
          </w:p>
        </w:tc>
        <w:tc>
          <w:tcPr>
            <w:tcW w:w="211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交通运输部颁发的监理工程师证</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JGJ0926039</w:t>
            </w:r>
          </w:p>
        </w:tc>
        <w:tc>
          <w:tcPr>
            <w:tcW w:w="2029"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道路与桥梁</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高级工程师</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项目技术负责人</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211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2029"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8314" w:type="dxa"/>
            <w:gridSpan w:val="9"/>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第一中标候选人类似业绩</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项目业主</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项目名称</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开工日期</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交工日期</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竣工日期</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建设规模</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合同价格（元）</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项目负责人</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成都天府新区投资集团有限公司</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天府中央公园项目（二期）、天府中央公园水生态监理</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20160301</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20180401</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20180401</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项目总投资 43438万元</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3383497</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胡亚楠</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邛崃市公路养护段</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平乐古镇平下卧夹过境线道路工程、平落古镇接气站道路工程和平乐古镇西延线道路工程</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20151223</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20170926</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20170926</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项目总投资 5560万元</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1264000</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田秀润</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西藏阿里地区交通运输局重点公路建设项目管理中心</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西藏自治区国道 216 线洞措至特荣海段公路改建工程</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20151112</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20171217</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20171217</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项目总投资约4亿元</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11613450</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蓝富强</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大英县顺兴资产经营有限公司</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大英至遂宁快捷通道（大英段）工程</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20131217</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项目总投资 7.54亿元</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2720000</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宋明丰</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成都新开元城市建设投资有限公司</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三洲路建设项目</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20180315</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项目总投资 1.5亿元</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2356200</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王荣和</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绵阳汇鑫开发建设有限公司</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科技城集中发展区核心区西片区支路网及科技城大道二期、清华西路、东西第二干道工程</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20171031</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项目总投资 186000 万元</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4357700</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李成</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甘孜州交通建设投资有限公司</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甘孜州榆林至磨西公路改建工程一期监理</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20140110</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w:t>
            </w:r>
            <w:bookmarkStart w:id="0" w:name="_GoBack"/>
            <w:bookmarkEnd w:id="0"/>
            <w:r>
              <w:rPr>
                <w:rFonts w:ascii="宋体" w:hAnsi="宋体" w:eastAsia="宋体" w:cs="宋体"/>
                <w:kern w:val="0"/>
                <w:sz w:val="24"/>
                <w:szCs w:val="24"/>
                <w:bdr w:val="none" w:color="auto" w:sz="0" w:space="0"/>
                <w:lang w:val="en-US" w:eastAsia="zh-CN" w:bidi="ar"/>
              </w:rPr>
              <w:t>170710</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20170710</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项目总投资 1.0466亿</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5686405</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宋明丰</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成都天府新区投资集团有限公司</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北部组团生态间隔带项目</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20171113</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项目总投资8亿元</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6655740</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崔阿涔</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8314" w:type="dxa"/>
            <w:gridSpan w:val="9"/>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第一中标候选人项目负责人类似业绩</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项目业主</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项目名称</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开工日期</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交工日期</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竣工日期</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建设规模</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合同价格（元）</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技术负责人</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8314" w:type="dxa"/>
            <w:gridSpan w:val="9"/>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第一中标候选人技术负责人类似业绩</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项目业主</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项目名称</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开工日期</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交工日期</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竣工日期</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建设规模</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合同价格（元）</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项目负责人</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tblCellMar>
            <w:top w:w="0" w:type="dxa"/>
            <w:left w:w="0" w:type="dxa"/>
            <w:bottom w:w="0" w:type="dxa"/>
            <w:right w:w="0" w:type="dxa"/>
          </w:tblCellMar>
        </w:tblPrEx>
        <w:tc>
          <w:tcPr>
            <w:tcW w:w="8314" w:type="dxa"/>
            <w:gridSpan w:val="9"/>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第二中标候选人类似业绩</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项目业主</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项目名称</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开工日期</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交工日期</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竣工日期</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建设规模</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合同价格（元）</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项目负责人</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四川内江交通投资开发有限责任公司</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省道 206 线内江城区过境段沱江五桥及 接线建设工程</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20131217</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20180710</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20200226</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项目总投资 2.79亿元</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3738900</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王学东</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遵义湘江投资建设有限责任公司</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遵义市新龙快线道路（南部新区段）建设项目（二标段）</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20171201</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项目总投资 110000万元</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8023821.50</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刘颖</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成都蓉欧投资发展有限责任公司</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散货物流园散货西路、散货东路、散货西路、散货南路、高平北路、高平中路、高平南路、高平西路建设工程</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20161209</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20181125</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20181125</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项目总投资 174687579 元</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2548823.38</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汪建</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成都宜居水城城乡交通建设投资有限公司</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金堂县中金快速通道赵家至淮口段建设工程 A 标</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20151228</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20181018</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20171228</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项目总投资 9961.2344 万元</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1697393</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徐志春</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成都成彭高速公路有限责任公司</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成彭高速公路扩容改造工程监理 B 段</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20161001</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20180710</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20200630</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项目总投资 22.18亿元</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5227600</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王学东</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通辽市通辽至鲁北高速公路建设项目管理办公室</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长春至深圳高速公路新民至鲁北联络线通辽至鲁北段高速公路建设项目第 TLZD4 标段</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20150709</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20171013</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20191231</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项目总投资 59.9505 亿元</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12566691</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冉仕龙</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8314" w:type="dxa"/>
            <w:gridSpan w:val="9"/>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第二中标候选人项目负责人类似业绩</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项目业主</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项目名称</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开工日期</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交工日期</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竣工日期</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建设规模</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合同价格（元）</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技术负责人</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8314" w:type="dxa"/>
            <w:gridSpan w:val="9"/>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第二中标候选人技术负责人类似业绩</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项目业主</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项目名称</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开工日期</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交工日期</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竣工日期</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建设规模</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合同价格（元）</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项目负责人</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8314" w:type="dxa"/>
            <w:gridSpan w:val="9"/>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第三中标候选人类似业绩</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项目业主</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项目名称</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开工日期</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交工日期</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竣工日期</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建设规模</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合同价格（元）</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项目负责人</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成都市双流区交通建设有资有限公司</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双流黄龙溪片区道路建设工程 PPP 项目-岷东大道双流段</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20170526</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20180930</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20200930</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项目总投资 5926万元</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1049067</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刘刚</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成都城建投资管理集团有限责任公司</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一环路道路综合整治工程</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20180501</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项目总投资约 245160.83万元</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17001903</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熊伟</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西充县环达交通投资有限公司</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射洪至蓬安公路西充境段改建工程</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20160624</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20190104</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20200624</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项目总投资 15110 万元</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2400000</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朱富贵</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8314" w:type="dxa"/>
            <w:gridSpan w:val="9"/>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第三中标候选人项目负责人类似业绩</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项目业主</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项目名称</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开工日期</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交工日期</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竣工日期</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建设规模</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合同价格（元）</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技术负责人</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8314" w:type="dxa"/>
            <w:gridSpan w:val="9"/>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第三中标候选人技术负责人类似业绩</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项目业主</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项目名称</w:t>
            </w: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开工日期</w:t>
            </w: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交工日期</w:t>
            </w: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竣工日期</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建设规模</w:t>
            </w: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合同价格（元）</w:t>
            </w: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项目负责人</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130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81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925"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879"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501"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8314" w:type="dxa"/>
            <w:gridSpan w:val="9"/>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其他投标人（除中标候选人之外的）评审情况</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57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投标人名称</w:t>
            </w:r>
          </w:p>
        </w:tc>
        <w:tc>
          <w:tcPr>
            <w:tcW w:w="247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投标报价（元）或否决投标依据条款（投标文件被认定为不合格所依据的招标文件评标办法中的评审因素和评审标准的条款）</w:t>
            </w:r>
          </w:p>
        </w:tc>
        <w:tc>
          <w:tcPr>
            <w:tcW w:w="2887" w:type="dxa"/>
            <w:gridSpan w:val="3"/>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经评审的投标价（元）或否决投标理由（投标文件被认定为不合格的具体事实,不得简单地表述为未响应招标文件实质性内容、某处有问题等）</w:t>
            </w:r>
          </w:p>
        </w:tc>
        <w:tc>
          <w:tcPr>
            <w:tcW w:w="1380"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综合评标得分或备注</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57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四川泰兴建设管理有限责任公司</w:t>
            </w:r>
          </w:p>
        </w:tc>
        <w:tc>
          <w:tcPr>
            <w:tcW w:w="247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17950974.93</w:t>
            </w:r>
          </w:p>
        </w:tc>
        <w:tc>
          <w:tcPr>
            <w:tcW w:w="2887" w:type="dxa"/>
            <w:gridSpan w:val="3"/>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17950974.93</w:t>
            </w:r>
          </w:p>
        </w:tc>
        <w:tc>
          <w:tcPr>
            <w:tcW w:w="1380"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66.71</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57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(牵头人)四川省亚通工程咨询有限公司,(成员)四川省名扬建设工程管理有限公司</w:t>
            </w:r>
          </w:p>
        </w:tc>
        <w:tc>
          <w:tcPr>
            <w:tcW w:w="247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17860002.55</w:t>
            </w:r>
          </w:p>
        </w:tc>
        <w:tc>
          <w:tcPr>
            <w:tcW w:w="2887" w:type="dxa"/>
            <w:gridSpan w:val="3"/>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17860002.55</w:t>
            </w:r>
          </w:p>
        </w:tc>
        <w:tc>
          <w:tcPr>
            <w:tcW w:w="1380"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85.06</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57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其他需说明事项</w:t>
            </w:r>
          </w:p>
        </w:tc>
        <w:tc>
          <w:tcPr>
            <w:tcW w:w="6742" w:type="dxa"/>
            <w:gridSpan w:val="7"/>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无</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572"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评标委员会成员名单</w:t>
            </w:r>
          </w:p>
        </w:tc>
        <w:tc>
          <w:tcPr>
            <w:tcW w:w="6742" w:type="dxa"/>
            <w:gridSpan w:val="7"/>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姓名：刘华单位：业主代表</w:t>
            </w:r>
          </w:p>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姓名：黄乔单位：成都兴诚信公司</w:t>
            </w:r>
          </w:p>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姓名：蒋芳单位：业主代表</w:t>
            </w:r>
          </w:p>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姓名：张玉川单位：成都铁路大西南监理公司</w:t>
            </w:r>
          </w:p>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姓名：黄铮单位：成都麒麟投资发展有限公司</w:t>
            </w:r>
          </w:p>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姓名：罗杜良单位：四川国信公司</w:t>
            </w:r>
          </w:p>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姓名：龚远辉单位：四川恒兴</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vMerge w:val="restart"/>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监督部门名称及监督电话</w:t>
            </w: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项目审批部门</w:t>
            </w:r>
          </w:p>
        </w:tc>
        <w:tc>
          <w:tcPr>
            <w:tcW w:w="3037" w:type="dxa"/>
            <w:gridSpan w:val="3"/>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成都市龙泉驿区发展和改革局</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联系电话</w:t>
            </w:r>
          </w:p>
        </w:tc>
        <w:tc>
          <w:tcPr>
            <w:tcW w:w="1380"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028-88450866</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vMerge w:val="continue"/>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rPr>
                <w:rFonts w:hint="eastAsia" w:ascii="宋体"/>
                <w:sz w:val="24"/>
                <w:szCs w:val="24"/>
              </w:rPr>
            </w:pPr>
          </w:p>
        </w:tc>
        <w:tc>
          <w:tcPr>
            <w:tcW w:w="1725"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行业主管部门</w:t>
            </w:r>
          </w:p>
        </w:tc>
        <w:tc>
          <w:tcPr>
            <w:tcW w:w="3037" w:type="dxa"/>
            <w:gridSpan w:val="3"/>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成都经济技术开发区交通运输局</w:t>
            </w:r>
          </w:p>
        </w:tc>
        <w:tc>
          <w:tcPr>
            <w:tcW w:w="1150"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联系电话</w:t>
            </w:r>
          </w:p>
        </w:tc>
        <w:tc>
          <w:tcPr>
            <w:tcW w:w="1380" w:type="dxa"/>
            <w:gridSpan w:val="2"/>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028-84855455</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c>
          <w:tcPr>
            <w:tcW w:w="1022" w:type="dxa"/>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异议投诉注意事项</w:t>
            </w:r>
          </w:p>
        </w:tc>
        <w:tc>
          <w:tcPr>
            <w:tcW w:w="7292" w:type="dxa"/>
            <w:gridSpan w:val="8"/>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3.对评标结果的投诉，涉及投标人弄虚作假骗取中标的由行业主管部门负责受理，涉及评标错误或评标无效的由项目审批部门负责受理。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4.投诉人就同一事项向两个以上有权受理的行政监督部门投诉的，由最先收到投诉的行政监督部门负责处理。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5.应先提出异议没有提出异议，超过投诉时效等不符合受理条件的投诉，有关行政监督部门不予受理；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投诉人故意捏造事实、伪造证明材料或者以非法手段取得证明材料进行投诉，给他人造成损失的，依法承担赔偿责任。</w:t>
            </w:r>
          </w:p>
        </w:tc>
      </w:tr>
      <w:tr>
        <w:tblPrEx>
          <w:tblBorders>
            <w:top w:val="single" w:color="DAE4EC" w:sz="6" w:space="0"/>
            <w:left w:val="single" w:color="DAE4EC" w:sz="6" w:space="0"/>
            <w:bottom w:val="single" w:color="DAE4EC" w:sz="6" w:space="0"/>
            <w:right w:val="single" w:color="DAE4EC" w:sz="6" w:space="0"/>
            <w:insideH w:val="none" w:color="auto" w:sz="0" w:space="0"/>
            <w:insideV w:val="none" w:color="auto" w:sz="0" w:space="0"/>
          </w:tblBorders>
          <w:shd w:val="clear"/>
          <w:tblCellMar>
            <w:top w:w="0" w:type="dxa"/>
            <w:left w:w="0" w:type="dxa"/>
            <w:bottom w:w="0" w:type="dxa"/>
            <w:right w:w="0" w:type="dxa"/>
          </w:tblCellMar>
        </w:tblPrEx>
        <w:trPr>
          <w:trHeight w:val="2415" w:hRule="atLeast"/>
        </w:trPr>
        <w:tc>
          <w:tcPr>
            <w:tcW w:w="4047" w:type="dxa"/>
            <w:gridSpan w:val="4"/>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招标人主要负责人签字、盖章:</w:t>
            </w:r>
          </w:p>
        </w:tc>
        <w:tc>
          <w:tcPr>
            <w:tcW w:w="4267" w:type="dxa"/>
            <w:gridSpan w:val="5"/>
            <w:tcBorders>
              <w:top w:val="single" w:color="DAE4EC" w:sz="6" w:space="0"/>
              <w:left w:val="single" w:color="DAE4EC" w:sz="6" w:space="0"/>
              <w:bottom w:val="single" w:color="DAE4EC" w:sz="6" w:space="0"/>
              <w:right w:val="single" w:color="DAE4EC" w:sz="6" w:space="0"/>
            </w:tcBorders>
            <w:shd w:val="clear"/>
            <w:tcMar>
              <w:left w:w="150" w:type="dxa"/>
              <w:right w:w="15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招标代理机构主要负责人签字、盖章：</w:t>
            </w:r>
          </w:p>
        </w:tc>
      </w:tr>
    </w:tbl>
    <w:p>
      <w:pPr>
        <w:keepNext w:val="0"/>
        <w:keepLines w:val="0"/>
        <w:pageBreakBefore w:val="0"/>
        <w:widowControl/>
        <w:suppressLineNumbers w:val="0"/>
        <w:kinsoku/>
        <w:wordWrap/>
        <w:overflowPunct/>
        <w:topLinePunct w:val="0"/>
        <w:autoSpaceDE/>
        <w:autoSpaceDN/>
        <w:bidi w:val="0"/>
        <w:adjustRightInd/>
        <w:snapToGrid/>
        <w:spacing w:before="300" w:beforeAutospacing="0" w:line="36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lang w:val="en-US" w:eastAsia="zh-CN" w:bidi="ar"/>
        </w:rPr>
        <w:t>        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r>
        <w:rPr>
          <w:rFonts w:hint="eastAsia" w:ascii="微软雅黑" w:hAnsi="微软雅黑" w:eastAsia="微软雅黑" w:cs="微软雅黑"/>
          <w:i w:val="0"/>
          <w:caps w:val="0"/>
          <w:color w:val="333333"/>
          <w:spacing w:val="0"/>
          <w:kern w:val="0"/>
          <w:sz w:val="21"/>
          <w:szCs w:val="21"/>
          <w:lang w:val="en-US" w:eastAsia="zh-CN" w:bidi="ar"/>
        </w:rPr>
        <w:br w:type="textWrapping"/>
      </w:r>
      <w:r>
        <w:rPr>
          <w:rFonts w:hint="eastAsia" w:ascii="微软雅黑" w:hAnsi="微软雅黑" w:eastAsia="微软雅黑" w:cs="微软雅黑"/>
          <w:i w:val="0"/>
          <w:caps w:val="0"/>
          <w:color w:val="333333"/>
          <w:spacing w:val="0"/>
          <w:kern w:val="0"/>
          <w:sz w:val="21"/>
          <w:szCs w:val="21"/>
          <w:lang w:val="en-US" w:eastAsia="zh-CN" w:bidi="ar"/>
        </w:rPr>
        <w:t>        2.中标候选人是联合体的，“中标候选人名称”中联合体各方的名称均应填写。</w:t>
      </w:r>
      <w:r>
        <w:rPr>
          <w:rFonts w:hint="eastAsia" w:ascii="微软雅黑" w:hAnsi="微软雅黑" w:eastAsia="微软雅黑" w:cs="微软雅黑"/>
          <w:i w:val="0"/>
          <w:caps w:val="0"/>
          <w:color w:val="333333"/>
          <w:spacing w:val="0"/>
          <w:kern w:val="0"/>
          <w:sz w:val="21"/>
          <w:szCs w:val="21"/>
          <w:lang w:val="en-US" w:eastAsia="zh-CN" w:bidi="ar"/>
        </w:rPr>
        <w:br w:type="textWrapping"/>
      </w:r>
      <w:r>
        <w:rPr>
          <w:rFonts w:hint="eastAsia" w:ascii="微软雅黑" w:hAnsi="微软雅黑" w:eastAsia="微软雅黑" w:cs="微软雅黑"/>
          <w:i w:val="0"/>
          <w:caps w:val="0"/>
          <w:color w:val="333333"/>
          <w:spacing w:val="0"/>
          <w:kern w:val="0"/>
          <w:sz w:val="21"/>
          <w:szCs w:val="21"/>
          <w:lang w:val="en-US" w:eastAsia="zh-CN" w:bidi="ar"/>
        </w:rPr>
        <w:t>        3.表中的“中标候选人类似业绩”和“中标候选人项目负责人类似业绩”应填写中标候选人在投标文件中所附所有业绩。</w:t>
      </w:r>
      <w:r>
        <w:rPr>
          <w:rFonts w:hint="eastAsia" w:ascii="微软雅黑" w:hAnsi="微软雅黑" w:eastAsia="微软雅黑" w:cs="微软雅黑"/>
          <w:i w:val="0"/>
          <w:caps w:val="0"/>
          <w:color w:val="333333"/>
          <w:spacing w:val="0"/>
          <w:kern w:val="0"/>
          <w:sz w:val="21"/>
          <w:szCs w:val="21"/>
          <w:lang w:val="en-US" w:eastAsia="zh-CN" w:bidi="ar"/>
        </w:rPr>
        <w:br w:type="textWrapping"/>
      </w:r>
      <w:r>
        <w:rPr>
          <w:rFonts w:hint="eastAsia" w:ascii="微软雅黑" w:hAnsi="微软雅黑" w:eastAsia="微软雅黑" w:cs="微软雅黑"/>
          <w:i w:val="0"/>
          <w:caps w:val="0"/>
          <w:color w:val="333333"/>
          <w:spacing w:val="0"/>
          <w:kern w:val="0"/>
          <w:sz w:val="21"/>
          <w:szCs w:val="21"/>
          <w:lang w:val="en-US" w:eastAsia="zh-CN" w:bidi="ar"/>
        </w:rPr>
        <w:t>        4.表中的“项目负责人”施工招标指项目经理、监理招标指项目总监等；表中的“项目技术负责人”是指项目主要技术人员或项目总工，如设计中只有多个专业技术负责人，应都作为项目技术负责人，扩展表格，分别填写。</w:t>
      </w:r>
      <w:r>
        <w:rPr>
          <w:rFonts w:hint="eastAsia" w:ascii="微软雅黑" w:hAnsi="微软雅黑" w:eastAsia="微软雅黑" w:cs="微软雅黑"/>
          <w:i w:val="0"/>
          <w:caps w:val="0"/>
          <w:color w:val="333333"/>
          <w:spacing w:val="0"/>
          <w:kern w:val="0"/>
          <w:sz w:val="21"/>
          <w:szCs w:val="21"/>
          <w:lang w:val="en-US" w:eastAsia="zh-CN" w:bidi="ar"/>
        </w:rPr>
        <w:br w:type="textWrapping"/>
      </w:r>
      <w:r>
        <w:rPr>
          <w:rFonts w:hint="eastAsia" w:ascii="微软雅黑" w:hAnsi="微软雅黑" w:eastAsia="微软雅黑" w:cs="微软雅黑"/>
          <w:i w:val="0"/>
          <w:caps w:val="0"/>
          <w:color w:val="333333"/>
          <w:spacing w:val="0"/>
          <w:kern w:val="0"/>
          <w:sz w:val="21"/>
          <w:szCs w:val="21"/>
          <w:lang w:val="en-US" w:eastAsia="zh-CN" w:bidi="ar"/>
        </w:rPr>
        <w:t>        5.表中的“开工日期”和“交工日期”、“竣工日期”是指实际开工日期和实际交工日期、实际竣工日期。勘察、设计招标应填写其勘察、设计服务期的起（开工日期）止（交工日期）日期（不含施工服务期）。监理招标应填写其监理服务期的起（开工日期）止（竣工日期）日期（不含竣工验收后服务期）。采购招标应填写采购供货的起（开工日期）止（交工日期）日期。施工招标的开工日期、竣工日期是指《中华人民共和国标准施工招标文件》（2007年版）中“通用合同条款”定义的时期；交工是指《公路工程竣（交）工验收办法》等规定的交工，已交工未竣工的，填交工日期，已经竣工的，交工日期和竣工时期都要填写；没有交工程序的，填“无”。</w:t>
      </w:r>
      <w:r>
        <w:rPr>
          <w:rFonts w:hint="eastAsia" w:ascii="微软雅黑" w:hAnsi="微软雅黑" w:eastAsia="微软雅黑" w:cs="微软雅黑"/>
          <w:i w:val="0"/>
          <w:caps w:val="0"/>
          <w:color w:val="333333"/>
          <w:spacing w:val="0"/>
          <w:kern w:val="0"/>
          <w:sz w:val="21"/>
          <w:szCs w:val="21"/>
          <w:lang w:val="en-US" w:eastAsia="zh-CN" w:bidi="ar"/>
        </w:rPr>
        <w:br w:type="textWrapping"/>
      </w:r>
      <w:r>
        <w:rPr>
          <w:rFonts w:hint="eastAsia" w:ascii="微软雅黑" w:hAnsi="微软雅黑" w:eastAsia="微软雅黑" w:cs="微软雅黑"/>
          <w:i w:val="0"/>
          <w:caps w:val="0"/>
          <w:color w:val="333333"/>
          <w:spacing w:val="0"/>
          <w:kern w:val="0"/>
          <w:sz w:val="21"/>
          <w:szCs w:val="21"/>
          <w:lang w:val="en-US" w:eastAsia="zh-CN" w:bidi="ar"/>
        </w:rPr>
        <w:t>        6.日期（年月日）的格式统一以阿拉伯数字表示。如：2015年9月1日，填写为20150901；2015年9月，填写为201509；2015年，填写为2015；2015/9/15 9:00:00填写为20150915－9:00:00。</w:t>
      </w:r>
      <w:r>
        <w:rPr>
          <w:rFonts w:hint="eastAsia" w:ascii="微软雅黑" w:hAnsi="微软雅黑" w:eastAsia="微软雅黑" w:cs="微软雅黑"/>
          <w:i w:val="0"/>
          <w:caps w:val="0"/>
          <w:color w:val="333333"/>
          <w:spacing w:val="0"/>
          <w:kern w:val="0"/>
          <w:sz w:val="21"/>
          <w:szCs w:val="21"/>
          <w:lang w:val="en-US" w:eastAsia="zh-CN" w:bidi="ar"/>
        </w:rPr>
        <w:br w:type="textWrapping"/>
      </w:r>
      <w:r>
        <w:rPr>
          <w:rFonts w:hint="eastAsia" w:ascii="微软雅黑" w:hAnsi="微软雅黑" w:eastAsia="微软雅黑" w:cs="微软雅黑"/>
          <w:i w:val="0"/>
          <w:caps w:val="0"/>
          <w:color w:val="333333"/>
          <w:spacing w:val="0"/>
          <w:kern w:val="0"/>
          <w:sz w:val="21"/>
          <w:szCs w:val="21"/>
          <w:lang w:val="en-US" w:eastAsia="zh-CN" w:bidi="ar"/>
        </w:rPr>
        <w:t>        7.表中的“合同价格”，是指承包人按合同约定完成了包括缺陷责任期内的全部承包工作后，发包人应付给承包人的金额，包括在履行合同过程中按合同约定进行的变更和调整。元指人民币元。</w:t>
      </w:r>
      <w:r>
        <w:rPr>
          <w:rFonts w:hint="eastAsia" w:ascii="微软雅黑" w:hAnsi="微软雅黑" w:eastAsia="微软雅黑" w:cs="微软雅黑"/>
          <w:i w:val="0"/>
          <w:caps w:val="0"/>
          <w:color w:val="333333"/>
          <w:spacing w:val="0"/>
          <w:kern w:val="0"/>
          <w:sz w:val="21"/>
          <w:szCs w:val="21"/>
          <w:lang w:val="en-US" w:eastAsia="zh-CN" w:bidi="ar"/>
        </w:rPr>
        <w:br w:type="textWrapping"/>
      </w:r>
      <w:r>
        <w:rPr>
          <w:rFonts w:hint="eastAsia" w:ascii="微软雅黑" w:hAnsi="微软雅黑" w:eastAsia="微软雅黑" w:cs="微软雅黑"/>
          <w:i w:val="0"/>
          <w:caps w:val="0"/>
          <w:color w:val="333333"/>
          <w:spacing w:val="0"/>
          <w:kern w:val="0"/>
          <w:sz w:val="21"/>
          <w:szCs w:val="21"/>
          <w:lang w:val="en-US" w:eastAsia="zh-CN" w:bidi="ar"/>
        </w:rPr>
        <w:t>        8.表中的“建设规模”采购招标应填写主要货物的数量、类型、规格等技术参数。</w:t>
      </w:r>
      <w:r>
        <w:rPr>
          <w:rFonts w:hint="eastAsia" w:ascii="微软雅黑" w:hAnsi="微软雅黑" w:eastAsia="微软雅黑" w:cs="微软雅黑"/>
          <w:i w:val="0"/>
          <w:caps w:val="0"/>
          <w:color w:val="333333"/>
          <w:spacing w:val="0"/>
          <w:kern w:val="0"/>
          <w:sz w:val="21"/>
          <w:szCs w:val="21"/>
          <w:lang w:val="en-US" w:eastAsia="zh-CN" w:bidi="ar"/>
        </w:rPr>
        <w:br w:type="textWrapping"/>
      </w:r>
      <w:r>
        <w:rPr>
          <w:rFonts w:hint="eastAsia" w:ascii="微软雅黑" w:hAnsi="微软雅黑" w:eastAsia="微软雅黑" w:cs="微软雅黑"/>
          <w:i w:val="0"/>
          <w:caps w:val="0"/>
          <w:color w:val="333333"/>
          <w:spacing w:val="0"/>
          <w:kern w:val="0"/>
          <w:sz w:val="21"/>
          <w:szCs w:val="21"/>
          <w:lang w:val="en-US" w:eastAsia="zh-CN" w:bidi="ar"/>
        </w:rPr>
        <w:t>        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r>
        <w:rPr>
          <w:rFonts w:hint="eastAsia" w:ascii="微软雅黑" w:hAnsi="微软雅黑" w:eastAsia="微软雅黑" w:cs="微软雅黑"/>
          <w:i w:val="0"/>
          <w:caps w:val="0"/>
          <w:color w:val="333333"/>
          <w:spacing w:val="0"/>
          <w:kern w:val="0"/>
          <w:sz w:val="21"/>
          <w:szCs w:val="21"/>
          <w:lang w:val="en-US" w:eastAsia="zh-CN" w:bidi="ar"/>
        </w:rPr>
        <w:br w:type="textWrapping"/>
      </w:r>
      <w:r>
        <w:rPr>
          <w:rFonts w:hint="eastAsia" w:ascii="微软雅黑" w:hAnsi="微软雅黑" w:eastAsia="微软雅黑" w:cs="微软雅黑"/>
          <w:i w:val="0"/>
          <w:caps w:val="0"/>
          <w:color w:val="333333"/>
          <w:spacing w:val="0"/>
          <w:kern w:val="0"/>
          <w:sz w:val="21"/>
          <w:szCs w:val="21"/>
          <w:lang w:val="en-US" w:eastAsia="zh-CN" w:bidi="ar"/>
        </w:rPr>
        <w:t>        10.所有的评标委员会成员（含业主评标代表）都需要填写；评标委员会成员有多个单位的，都需要填写。</w:t>
      </w:r>
      <w:r>
        <w:rPr>
          <w:rFonts w:hint="eastAsia" w:ascii="微软雅黑" w:hAnsi="微软雅黑" w:eastAsia="微软雅黑" w:cs="微软雅黑"/>
          <w:i w:val="0"/>
          <w:caps w:val="0"/>
          <w:color w:val="333333"/>
          <w:spacing w:val="0"/>
          <w:kern w:val="0"/>
          <w:sz w:val="21"/>
          <w:szCs w:val="21"/>
          <w:lang w:val="en-US" w:eastAsia="zh-CN" w:bidi="ar"/>
        </w:rPr>
        <w:br w:type="textWrapping"/>
      </w:r>
      <w:r>
        <w:rPr>
          <w:rFonts w:hint="eastAsia" w:ascii="微软雅黑" w:hAnsi="微软雅黑" w:eastAsia="微软雅黑" w:cs="微软雅黑"/>
          <w:i w:val="0"/>
          <w:caps w:val="0"/>
          <w:color w:val="333333"/>
          <w:spacing w:val="0"/>
          <w:kern w:val="0"/>
          <w:sz w:val="21"/>
          <w:szCs w:val="21"/>
          <w:lang w:val="en-US" w:eastAsia="zh-CN" w:bidi="ar"/>
        </w:rPr>
        <w:t>        11.中标候选人公示纸质文本招标人须加盖单位公章，多页还应加盖骑缝章。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511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2020-03-04T06:15:06Z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