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8B" w:rsidRPr="00125B8B" w:rsidRDefault="00125B8B" w:rsidP="0001379C">
      <w:pPr>
        <w:widowControl/>
        <w:spacing w:line="360" w:lineRule="exact"/>
        <w:jc w:val="center"/>
        <w:rPr>
          <w:rFonts w:ascii="微软雅黑" w:eastAsia="微软雅黑" w:hAnsi="微软雅黑" w:cs="宋体"/>
          <w:color w:val="000000"/>
          <w:kern w:val="0"/>
          <w:sz w:val="27"/>
          <w:szCs w:val="27"/>
        </w:rPr>
      </w:pPr>
      <w:r w:rsidRPr="00125B8B">
        <w:rPr>
          <w:rFonts w:ascii="微软雅黑" w:eastAsia="微软雅黑" w:hAnsi="微软雅黑" w:cs="宋体" w:hint="eastAsia"/>
          <w:color w:val="000000"/>
          <w:kern w:val="0"/>
          <w:sz w:val="27"/>
          <w:szCs w:val="27"/>
        </w:rPr>
        <w:t>金牛区大湾A区安置房工程项目勘察设计-初步勘察、初步设计（含方案设计）标段评标结果公示</w:t>
      </w:r>
    </w:p>
    <w:tbl>
      <w:tblPr>
        <w:tblW w:w="5000" w:type="pct"/>
        <w:tblCellMar>
          <w:left w:w="0" w:type="dxa"/>
          <w:right w:w="0" w:type="dxa"/>
        </w:tblCellMar>
        <w:tblLook w:val="04A0" w:firstRow="1" w:lastRow="0" w:firstColumn="1" w:lastColumn="0" w:noHBand="0" w:noVBand="1"/>
      </w:tblPr>
      <w:tblGrid>
        <w:gridCol w:w="1843"/>
        <w:gridCol w:w="215"/>
        <w:gridCol w:w="1443"/>
        <w:gridCol w:w="1819"/>
        <w:gridCol w:w="544"/>
        <w:gridCol w:w="2034"/>
        <w:gridCol w:w="933"/>
        <w:gridCol w:w="2485"/>
        <w:gridCol w:w="171"/>
        <w:gridCol w:w="2500"/>
        <w:gridCol w:w="16"/>
        <w:gridCol w:w="1545"/>
      </w:tblGrid>
      <w:tr w:rsidR="00125B8B" w:rsidRPr="00125B8B" w:rsidTr="00125B8B">
        <w:tc>
          <w:tcPr>
            <w:tcW w:w="59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项目及标段名称</w:t>
            </w:r>
          </w:p>
        </w:tc>
        <w:tc>
          <w:tcPr>
            <w:tcW w:w="4407" w:type="pct"/>
            <w:gridSpan w:val="11"/>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金牛区大湾A区安置房工程项目勘察设计-初步勘察、初步设计（含方案设计）标段</w:t>
            </w:r>
          </w:p>
        </w:tc>
      </w:tr>
      <w:tr w:rsidR="00125B8B" w:rsidRPr="00125B8B" w:rsidTr="00077FCE">
        <w:tc>
          <w:tcPr>
            <w:tcW w:w="59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93"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成都金信源建设投资有限责任公司</w:t>
            </w:r>
          </w:p>
        </w:tc>
        <w:tc>
          <w:tcPr>
            <w:tcW w:w="9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项目业主联系电话</w:t>
            </w:r>
          </w:p>
        </w:tc>
        <w:tc>
          <w:tcPr>
            <w:tcW w:w="2160"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028-87596051</w:t>
            </w:r>
          </w:p>
        </w:tc>
      </w:tr>
      <w:tr w:rsidR="00125B8B" w:rsidRPr="00125B8B" w:rsidTr="00077FCE">
        <w:tc>
          <w:tcPr>
            <w:tcW w:w="59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招标人</w:t>
            </w:r>
          </w:p>
        </w:tc>
        <w:tc>
          <w:tcPr>
            <w:tcW w:w="1293"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成都金信源建设投资有限责任公司</w:t>
            </w:r>
          </w:p>
        </w:tc>
        <w:tc>
          <w:tcPr>
            <w:tcW w:w="9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招标人联系电话</w:t>
            </w:r>
          </w:p>
        </w:tc>
        <w:tc>
          <w:tcPr>
            <w:tcW w:w="2160"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028-87596051</w:t>
            </w:r>
          </w:p>
        </w:tc>
      </w:tr>
      <w:tr w:rsidR="00125B8B" w:rsidRPr="00125B8B" w:rsidTr="00077FCE">
        <w:tc>
          <w:tcPr>
            <w:tcW w:w="59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招标代理机构</w:t>
            </w:r>
          </w:p>
        </w:tc>
        <w:tc>
          <w:tcPr>
            <w:tcW w:w="1293"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w:t>
            </w:r>
            <w:proofErr w:type="gramStart"/>
            <w:r w:rsidRPr="00125B8B">
              <w:rPr>
                <w:rFonts w:ascii="微软雅黑" w:eastAsia="微软雅黑" w:hAnsi="微软雅黑" w:cs="宋体" w:hint="eastAsia"/>
                <w:color w:val="212121"/>
                <w:kern w:val="0"/>
                <w:szCs w:val="21"/>
              </w:rPr>
              <w:t>科标禾</w:t>
            </w:r>
            <w:proofErr w:type="gramEnd"/>
            <w:r w:rsidRPr="00125B8B">
              <w:rPr>
                <w:rFonts w:ascii="微软雅黑" w:eastAsia="微软雅黑" w:hAnsi="微软雅黑" w:cs="宋体" w:hint="eastAsia"/>
                <w:color w:val="212121"/>
                <w:kern w:val="0"/>
                <w:szCs w:val="21"/>
              </w:rPr>
              <w:t>工程项目管理有限公司</w:t>
            </w:r>
          </w:p>
        </w:tc>
        <w:tc>
          <w:tcPr>
            <w:tcW w:w="9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招标代理机构联系电话</w:t>
            </w:r>
          </w:p>
        </w:tc>
        <w:tc>
          <w:tcPr>
            <w:tcW w:w="2160"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028-86094188</w:t>
            </w:r>
          </w:p>
        </w:tc>
      </w:tr>
      <w:tr w:rsidR="00125B8B" w:rsidRPr="00125B8B" w:rsidTr="00077FCE">
        <w:tc>
          <w:tcPr>
            <w:tcW w:w="59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开标地点</w:t>
            </w:r>
          </w:p>
        </w:tc>
        <w:tc>
          <w:tcPr>
            <w:tcW w:w="1293"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成都市公共资源交易服务中心</w:t>
            </w:r>
          </w:p>
        </w:tc>
        <w:tc>
          <w:tcPr>
            <w:tcW w:w="9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开标时间</w:t>
            </w:r>
          </w:p>
        </w:tc>
        <w:tc>
          <w:tcPr>
            <w:tcW w:w="2160"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20200403 - 10:30:00</w:t>
            </w:r>
          </w:p>
        </w:tc>
      </w:tr>
      <w:tr w:rsidR="00125B8B" w:rsidRPr="00125B8B" w:rsidTr="00077FCE">
        <w:tc>
          <w:tcPr>
            <w:tcW w:w="59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公示期</w:t>
            </w:r>
          </w:p>
        </w:tc>
        <w:tc>
          <w:tcPr>
            <w:tcW w:w="1293"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464CEE">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2020年04月</w:t>
            </w:r>
            <w:r w:rsidR="00464CEE">
              <w:rPr>
                <w:rFonts w:ascii="微软雅黑" w:eastAsia="微软雅黑" w:hAnsi="微软雅黑" w:cs="宋体" w:hint="eastAsia"/>
                <w:color w:val="212121"/>
                <w:kern w:val="0"/>
                <w:szCs w:val="21"/>
              </w:rPr>
              <w:t>10</w:t>
            </w:r>
            <w:r w:rsidRPr="00125B8B">
              <w:rPr>
                <w:rFonts w:ascii="微软雅黑" w:eastAsia="微软雅黑" w:hAnsi="微软雅黑" w:cs="宋体" w:hint="eastAsia"/>
                <w:color w:val="212121"/>
                <w:kern w:val="0"/>
                <w:szCs w:val="21"/>
              </w:rPr>
              <w:t>日~2020年04月1</w:t>
            </w:r>
            <w:r w:rsidR="00464CEE">
              <w:rPr>
                <w:rFonts w:ascii="微软雅黑" w:eastAsia="微软雅黑" w:hAnsi="微软雅黑" w:cs="宋体" w:hint="eastAsia"/>
                <w:color w:val="212121"/>
                <w:kern w:val="0"/>
                <w:szCs w:val="21"/>
              </w:rPr>
              <w:t>4</w:t>
            </w:r>
            <w:r w:rsidRPr="00125B8B">
              <w:rPr>
                <w:rFonts w:ascii="微软雅黑" w:eastAsia="微软雅黑" w:hAnsi="微软雅黑" w:cs="宋体" w:hint="eastAsia"/>
                <w:color w:val="212121"/>
                <w:kern w:val="0"/>
                <w:szCs w:val="21"/>
              </w:rPr>
              <w:t>日</w:t>
            </w:r>
          </w:p>
        </w:tc>
        <w:tc>
          <w:tcPr>
            <w:tcW w:w="9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投标最高限价（元）</w:t>
            </w:r>
          </w:p>
        </w:tc>
        <w:tc>
          <w:tcPr>
            <w:tcW w:w="2160"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为《工程勘察设计收费管理规定》、《关于进一步放开建设项目专业服务价格的通知》（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【2015】299号文收费标准的80%；本次招标包含初步勘察、方案设计、初步设计，勘察及设计服务费结算办法详见合同相应条款</w:t>
            </w:r>
          </w:p>
        </w:tc>
      </w:tr>
      <w:tr w:rsidR="00077FCE" w:rsidRPr="00125B8B" w:rsidTr="00077FCE">
        <w:tc>
          <w:tcPr>
            <w:tcW w:w="662" w:type="pct"/>
            <w:gridSpan w:val="2"/>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中标候选人及排序</w:t>
            </w:r>
          </w:p>
        </w:tc>
        <w:tc>
          <w:tcPr>
            <w:tcW w:w="1049" w:type="pct"/>
            <w:gridSpan w:val="2"/>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中标候选人名称</w:t>
            </w:r>
          </w:p>
        </w:tc>
        <w:tc>
          <w:tcPr>
            <w:tcW w:w="1983" w:type="pct"/>
            <w:gridSpan w:val="5"/>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投标报价（元）</w:t>
            </w:r>
          </w:p>
        </w:tc>
        <w:tc>
          <w:tcPr>
            <w:tcW w:w="804" w:type="pct"/>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经评审的投标价（元）</w:t>
            </w:r>
          </w:p>
        </w:tc>
        <w:tc>
          <w:tcPr>
            <w:tcW w:w="502" w:type="pct"/>
            <w:gridSpan w:val="2"/>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综合评标得分</w:t>
            </w:r>
          </w:p>
        </w:tc>
      </w:tr>
      <w:tr w:rsidR="00077FCE"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第一名</w:t>
            </w:r>
          </w:p>
        </w:tc>
        <w:tc>
          <w:tcPr>
            <w:tcW w:w="104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(牵头人)广西壮族自治区城乡规划设计院，(成员)</w:t>
            </w:r>
            <w:proofErr w:type="gramStart"/>
            <w:r w:rsidRPr="00125B8B">
              <w:rPr>
                <w:rFonts w:ascii="微软雅黑" w:eastAsia="微软雅黑" w:hAnsi="微软雅黑" w:cs="宋体" w:hint="eastAsia"/>
                <w:color w:val="212121"/>
                <w:kern w:val="0"/>
                <w:szCs w:val="21"/>
              </w:rPr>
              <w:t>四川省蜀通岩土工程</w:t>
            </w:r>
            <w:proofErr w:type="gramEnd"/>
            <w:r w:rsidRPr="00125B8B">
              <w:rPr>
                <w:rFonts w:ascii="微软雅黑" w:eastAsia="微软雅黑" w:hAnsi="微软雅黑" w:cs="宋体" w:hint="eastAsia"/>
                <w:color w:val="212121"/>
                <w:kern w:val="0"/>
                <w:szCs w:val="21"/>
              </w:rPr>
              <w:t>公司</w:t>
            </w:r>
            <w:bookmarkStart w:id="0" w:name="_GoBack"/>
            <w:bookmarkEnd w:id="0"/>
          </w:p>
        </w:tc>
        <w:tc>
          <w:tcPr>
            <w:tcW w:w="1983"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按《工程勘察设计收费管理规定》(计价格【2002】10号、《关于进一步放开建设项目专业服务价格的通知》（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【2015】299号）文收费标准的74.00%</w:t>
            </w:r>
          </w:p>
        </w:tc>
        <w:tc>
          <w:tcPr>
            <w:tcW w:w="80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0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96.68</w:t>
            </w:r>
          </w:p>
        </w:tc>
      </w:tr>
      <w:tr w:rsidR="00077FCE"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第二名</w:t>
            </w:r>
          </w:p>
        </w:tc>
        <w:tc>
          <w:tcPr>
            <w:tcW w:w="104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核工业西南勘察设计研究院有限公司</w:t>
            </w:r>
          </w:p>
        </w:tc>
        <w:tc>
          <w:tcPr>
            <w:tcW w:w="1983"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按《工程勘察设计收费管理规定》(计价格【2002】10号、《关于进一步放开建设项目专业服务价格的通知》（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【2015】299号）文收费标准的75%</w:t>
            </w:r>
          </w:p>
        </w:tc>
        <w:tc>
          <w:tcPr>
            <w:tcW w:w="80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0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92.80</w:t>
            </w:r>
          </w:p>
        </w:tc>
      </w:tr>
      <w:tr w:rsidR="00077FCE"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第三名</w:t>
            </w:r>
          </w:p>
        </w:tc>
        <w:tc>
          <w:tcPr>
            <w:tcW w:w="104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(牵头人)四川省建筑设计研究院有限公司，(成员)四川省川建勘察设计院</w:t>
            </w:r>
          </w:p>
        </w:tc>
        <w:tc>
          <w:tcPr>
            <w:tcW w:w="1983"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按《工程勘察设计收费管理规定》(计价格【2002】10号、《关于进一步放开建设项目专业服务价格的通知》（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【2015】299号）文收费标准的78%</w:t>
            </w:r>
          </w:p>
        </w:tc>
        <w:tc>
          <w:tcPr>
            <w:tcW w:w="80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0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81.60</w:t>
            </w:r>
          </w:p>
        </w:tc>
      </w:tr>
      <w:tr w:rsidR="00125B8B" w:rsidRPr="00125B8B" w:rsidTr="00125B8B">
        <w:tc>
          <w:tcPr>
            <w:tcW w:w="5000" w:type="pct"/>
            <w:gridSpan w:val="12"/>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第一中标候选人项目管理机构主要人员</w:t>
            </w:r>
          </w:p>
        </w:tc>
      </w:tr>
      <w:tr w:rsidR="00125B8B" w:rsidRPr="00125B8B" w:rsidTr="00077FCE">
        <w:tc>
          <w:tcPr>
            <w:tcW w:w="662" w:type="pct"/>
            <w:gridSpan w:val="2"/>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职务</w:t>
            </w:r>
          </w:p>
        </w:tc>
        <w:tc>
          <w:tcPr>
            <w:tcW w:w="464"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w:t>
            </w:r>
          </w:p>
        </w:tc>
        <w:tc>
          <w:tcPr>
            <w:tcW w:w="2513"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执业或职业资格</w:t>
            </w:r>
          </w:p>
        </w:tc>
        <w:tc>
          <w:tcPr>
            <w:tcW w:w="1361"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职称</w:t>
            </w:r>
          </w:p>
        </w:tc>
      </w:tr>
      <w:tr w:rsidR="00125B8B" w:rsidRPr="00125B8B" w:rsidTr="00077FCE">
        <w:tc>
          <w:tcPr>
            <w:tcW w:w="662" w:type="pct"/>
            <w:gridSpan w:val="2"/>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464" w:type="pct"/>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证书名称</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证书编号</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职称专业</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级别</w:t>
            </w:r>
          </w:p>
        </w:tc>
      </w:tr>
      <w:tr w:rsidR="00125B8B"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项目负责人</w:t>
            </w:r>
          </w:p>
        </w:tc>
        <w:tc>
          <w:tcPr>
            <w:tcW w:w="46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徐克翔</w:t>
            </w:r>
            <w:proofErr w:type="gramEnd"/>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一级注册建筑师</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094500300</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建筑学</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高级</w:t>
            </w:r>
          </w:p>
        </w:tc>
      </w:tr>
      <w:tr w:rsidR="00125B8B"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项目技术负责人</w:t>
            </w:r>
          </w:p>
        </w:tc>
        <w:tc>
          <w:tcPr>
            <w:tcW w:w="46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r>
      <w:tr w:rsidR="00125B8B" w:rsidRPr="00125B8B" w:rsidTr="00125B8B">
        <w:tc>
          <w:tcPr>
            <w:tcW w:w="5000" w:type="pct"/>
            <w:gridSpan w:val="12"/>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第二中标候选人项目管理机构主要人员</w:t>
            </w:r>
          </w:p>
        </w:tc>
      </w:tr>
      <w:tr w:rsidR="00125B8B" w:rsidRPr="00125B8B" w:rsidTr="00077FCE">
        <w:tc>
          <w:tcPr>
            <w:tcW w:w="662" w:type="pct"/>
            <w:gridSpan w:val="2"/>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职务</w:t>
            </w:r>
          </w:p>
        </w:tc>
        <w:tc>
          <w:tcPr>
            <w:tcW w:w="464"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w:t>
            </w:r>
          </w:p>
        </w:tc>
        <w:tc>
          <w:tcPr>
            <w:tcW w:w="2513"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执业或职业资格</w:t>
            </w:r>
          </w:p>
        </w:tc>
        <w:tc>
          <w:tcPr>
            <w:tcW w:w="1361"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职称</w:t>
            </w:r>
          </w:p>
        </w:tc>
      </w:tr>
      <w:tr w:rsidR="00125B8B" w:rsidRPr="00125B8B" w:rsidTr="00077FCE">
        <w:tc>
          <w:tcPr>
            <w:tcW w:w="662" w:type="pct"/>
            <w:gridSpan w:val="2"/>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464" w:type="pct"/>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证书名称</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证书编号</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职称专业</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级别</w:t>
            </w:r>
          </w:p>
        </w:tc>
      </w:tr>
      <w:tr w:rsidR="00125B8B"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46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虞辛</w:t>
            </w:r>
            <w:proofErr w:type="gramEnd"/>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一级注册建筑师</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085100950</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建筑学</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高级</w:t>
            </w:r>
          </w:p>
        </w:tc>
      </w:tr>
      <w:tr w:rsidR="00125B8B"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项目技术负责人</w:t>
            </w:r>
          </w:p>
        </w:tc>
        <w:tc>
          <w:tcPr>
            <w:tcW w:w="46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r>
      <w:tr w:rsidR="00125B8B" w:rsidRPr="00125B8B" w:rsidTr="00125B8B">
        <w:tc>
          <w:tcPr>
            <w:tcW w:w="5000" w:type="pct"/>
            <w:gridSpan w:val="12"/>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第三中标候选人项目管理机构主要人员</w:t>
            </w:r>
          </w:p>
        </w:tc>
      </w:tr>
      <w:tr w:rsidR="00125B8B" w:rsidRPr="00125B8B" w:rsidTr="00077FCE">
        <w:tc>
          <w:tcPr>
            <w:tcW w:w="662" w:type="pct"/>
            <w:gridSpan w:val="2"/>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职务</w:t>
            </w:r>
          </w:p>
        </w:tc>
        <w:tc>
          <w:tcPr>
            <w:tcW w:w="464"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w:t>
            </w:r>
          </w:p>
        </w:tc>
        <w:tc>
          <w:tcPr>
            <w:tcW w:w="2513" w:type="pct"/>
            <w:gridSpan w:val="5"/>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执业或职业资格</w:t>
            </w:r>
          </w:p>
        </w:tc>
        <w:tc>
          <w:tcPr>
            <w:tcW w:w="1361" w:type="pct"/>
            <w:gridSpan w:val="4"/>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职称</w:t>
            </w:r>
          </w:p>
        </w:tc>
      </w:tr>
      <w:tr w:rsidR="00125B8B" w:rsidRPr="00125B8B" w:rsidTr="00077FCE">
        <w:tc>
          <w:tcPr>
            <w:tcW w:w="662" w:type="pct"/>
            <w:gridSpan w:val="2"/>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464" w:type="pct"/>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证书名称</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证书编号</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职称专业</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级别</w:t>
            </w:r>
          </w:p>
        </w:tc>
      </w:tr>
      <w:tr w:rsidR="00125B8B"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46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赵红蕾</w:t>
            </w: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一级注册建筑师</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035100696</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高级</w:t>
            </w:r>
          </w:p>
        </w:tc>
      </w:tr>
      <w:tr w:rsidR="00125B8B" w:rsidRPr="00125B8B" w:rsidTr="00077FCE">
        <w:tc>
          <w:tcPr>
            <w:tcW w:w="66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项目技术负责人</w:t>
            </w:r>
          </w:p>
        </w:tc>
        <w:tc>
          <w:tcPr>
            <w:tcW w:w="464"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41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099"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86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49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r>
    </w:tbl>
    <w:p w:rsidR="00125B8B" w:rsidRPr="00125B8B" w:rsidRDefault="00125B8B" w:rsidP="0001379C">
      <w:pPr>
        <w:widowControl/>
        <w:spacing w:line="360" w:lineRule="exact"/>
        <w:jc w:val="left"/>
        <w:rPr>
          <w:rFonts w:ascii="微软雅黑" w:eastAsia="微软雅黑" w:hAnsi="微软雅黑" w:cs="宋体"/>
          <w:vanish/>
          <w:color w:val="000000"/>
          <w:kern w:val="0"/>
          <w:szCs w:val="21"/>
        </w:rPr>
      </w:pPr>
    </w:p>
    <w:tbl>
      <w:tblPr>
        <w:tblW w:w="5000" w:type="pct"/>
        <w:tblCellMar>
          <w:left w:w="0" w:type="dxa"/>
          <w:right w:w="0" w:type="dxa"/>
        </w:tblCellMar>
        <w:tblLook w:val="04A0" w:firstRow="1" w:lastRow="0" w:firstColumn="1" w:lastColumn="0" w:noHBand="0" w:noVBand="1"/>
      </w:tblPr>
      <w:tblGrid>
        <w:gridCol w:w="3289"/>
        <w:gridCol w:w="3731"/>
        <w:gridCol w:w="1703"/>
        <w:gridCol w:w="1841"/>
        <w:gridCol w:w="2083"/>
        <w:gridCol w:w="1556"/>
        <w:gridCol w:w="1331"/>
        <w:gridCol w:w="14"/>
      </w:tblGrid>
      <w:tr w:rsidR="00125B8B" w:rsidRPr="00125B8B" w:rsidTr="00077FCE">
        <w:trPr>
          <w:gridAfter w:val="1"/>
          <w:wAfter w:w="5" w:type="pct"/>
        </w:trPr>
        <w:tc>
          <w:tcPr>
            <w:tcW w:w="4995"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第一中标候选人类似业绩</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彭州市统一建设集团有限公司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彭州市丽景小区二期安置房项目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20180601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规划总建筑面积约229300平方米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无</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席青松</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广西北投地产有限责任公司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南宁五</w:t>
            </w:r>
            <w:proofErr w:type="gramStart"/>
            <w:r w:rsidRPr="00125B8B">
              <w:rPr>
                <w:rFonts w:ascii="微软雅黑" w:eastAsia="微软雅黑" w:hAnsi="微软雅黑" w:cs="宋体" w:hint="eastAsia"/>
                <w:color w:val="212121"/>
                <w:kern w:val="0"/>
                <w:szCs w:val="21"/>
              </w:rPr>
              <w:t>象</w:t>
            </w:r>
            <w:proofErr w:type="gramEnd"/>
            <w:r w:rsidRPr="00125B8B">
              <w:rPr>
                <w:rFonts w:ascii="微软雅黑" w:eastAsia="微软雅黑" w:hAnsi="微软雅黑" w:cs="宋体" w:hint="eastAsia"/>
                <w:color w:val="212121"/>
                <w:kern w:val="0"/>
                <w:szCs w:val="21"/>
              </w:rPr>
              <w:t>智慧健康城一期（地块一）施工图设计</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20171001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总建筑面积约为：35万平方米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5880000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林耀义</w:t>
            </w:r>
            <w:proofErr w:type="gramEnd"/>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广西中马钦州产业园区方圆实业有限公司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中国·马来西亚钦州产业园区安置</w:t>
            </w:r>
            <w:proofErr w:type="gramStart"/>
            <w:r w:rsidRPr="00125B8B">
              <w:rPr>
                <w:rFonts w:ascii="微软雅黑" w:eastAsia="微软雅黑" w:hAnsi="微软雅黑" w:cs="宋体" w:hint="eastAsia"/>
                <w:color w:val="212121"/>
                <w:kern w:val="0"/>
                <w:szCs w:val="21"/>
              </w:rPr>
              <w:t>公寓北</w:t>
            </w:r>
            <w:proofErr w:type="gramEnd"/>
            <w:r w:rsidRPr="00125B8B">
              <w:rPr>
                <w:rFonts w:ascii="微软雅黑" w:eastAsia="微软雅黑" w:hAnsi="微软雅黑" w:cs="宋体" w:hint="eastAsia"/>
                <w:color w:val="212121"/>
                <w:kern w:val="0"/>
                <w:szCs w:val="21"/>
              </w:rPr>
              <w:t>小区项目、产业</w:t>
            </w:r>
            <w:proofErr w:type="gramStart"/>
            <w:r w:rsidRPr="00125B8B">
              <w:rPr>
                <w:rFonts w:ascii="微软雅黑" w:eastAsia="微软雅黑" w:hAnsi="微软雅黑" w:cs="宋体" w:hint="eastAsia"/>
                <w:color w:val="212121"/>
                <w:kern w:val="0"/>
                <w:szCs w:val="21"/>
              </w:rPr>
              <w:t>公寓南</w:t>
            </w:r>
            <w:proofErr w:type="gramEnd"/>
            <w:r w:rsidRPr="00125B8B">
              <w:rPr>
                <w:rFonts w:ascii="微软雅黑" w:eastAsia="微软雅黑" w:hAnsi="微软雅黑" w:cs="宋体" w:hint="eastAsia"/>
                <w:color w:val="212121"/>
                <w:kern w:val="0"/>
                <w:szCs w:val="21"/>
              </w:rPr>
              <w:t>小区项目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20171201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总建筑面积约549005.88平方米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3319400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徐克翔</w:t>
            </w:r>
            <w:proofErr w:type="gramEnd"/>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四川彭祖文化旅游开发有限公司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水</w:t>
            </w:r>
            <w:proofErr w:type="gramStart"/>
            <w:r w:rsidRPr="00125B8B">
              <w:rPr>
                <w:rFonts w:ascii="微软雅黑" w:eastAsia="微软雅黑" w:hAnsi="微软雅黑" w:cs="宋体" w:hint="eastAsia"/>
                <w:color w:val="212121"/>
                <w:kern w:val="0"/>
                <w:szCs w:val="21"/>
              </w:rPr>
              <w:t>郡未来</w:t>
            </w:r>
            <w:proofErr w:type="gramEnd"/>
            <w:r w:rsidRPr="00125B8B">
              <w:rPr>
                <w:rFonts w:ascii="微软雅黑" w:eastAsia="微软雅黑" w:hAnsi="微软雅黑" w:cs="宋体" w:hint="eastAsia"/>
                <w:color w:val="212121"/>
                <w:kern w:val="0"/>
                <w:szCs w:val="21"/>
              </w:rPr>
              <w:t>城一期项目地质勘察</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20180501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规划总建筑面积约106.75万㎡</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3310000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张宁</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成都建工地产开发有限公司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建工梧桐屿（一、二期）</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20170501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规划总建筑面积：327320.64平方米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650000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严婷</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中国东方航空股份有限公司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成都天府国际机场东航基地建设项目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20180201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总建筑面积251635平方米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6581002</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张宁</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柳州益菱汽车</w:t>
            </w:r>
            <w:proofErr w:type="gramEnd"/>
            <w:r w:rsidRPr="00125B8B">
              <w:rPr>
                <w:rFonts w:ascii="微软雅黑" w:eastAsia="微软雅黑" w:hAnsi="微软雅黑" w:cs="宋体" w:hint="eastAsia"/>
                <w:color w:val="212121"/>
                <w:kern w:val="0"/>
                <w:szCs w:val="21"/>
              </w:rPr>
              <w:t>投资发展有限公司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宝骏城</w:t>
            </w:r>
            <w:proofErr w:type="gramEnd"/>
            <w:r w:rsidRPr="00125B8B">
              <w:rPr>
                <w:rFonts w:ascii="微软雅黑" w:eastAsia="微软雅黑" w:hAnsi="微软雅黑" w:cs="宋体" w:hint="eastAsia"/>
                <w:color w:val="212121"/>
                <w:kern w:val="0"/>
                <w:szCs w:val="21"/>
              </w:rPr>
              <w:t>项目设计（1标段）</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20190101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总建筑面积：479803.65平方米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11035483.95</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徐克翔</w:t>
            </w:r>
            <w:proofErr w:type="gramEnd"/>
          </w:p>
        </w:tc>
      </w:tr>
      <w:tr w:rsidR="00125B8B" w:rsidRPr="00125B8B" w:rsidTr="00077FCE">
        <w:trPr>
          <w:gridAfter w:val="1"/>
          <w:wAfter w:w="5" w:type="pct"/>
        </w:trPr>
        <w:tc>
          <w:tcPr>
            <w:tcW w:w="4995"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第一中标候选人项目负责人类似业绩</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技术负责人</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柳州益菱汽车</w:t>
            </w:r>
            <w:proofErr w:type="gramEnd"/>
            <w:r w:rsidRPr="00125B8B">
              <w:rPr>
                <w:rFonts w:ascii="微软雅黑" w:eastAsia="微软雅黑" w:hAnsi="微软雅黑" w:cs="宋体" w:hint="eastAsia"/>
                <w:color w:val="212121"/>
                <w:kern w:val="0"/>
                <w:szCs w:val="21"/>
              </w:rPr>
              <w:t>投资发展有限公司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宝骏城</w:t>
            </w:r>
            <w:proofErr w:type="gramEnd"/>
            <w:r w:rsidRPr="00125B8B">
              <w:rPr>
                <w:rFonts w:ascii="微软雅黑" w:eastAsia="微软雅黑" w:hAnsi="微软雅黑" w:cs="宋体" w:hint="eastAsia"/>
                <w:color w:val="212121"/>
                <w:kern w:val="0"/>
                <w:szCs w:val="21"/>
              </w:rPr>
              <w:t>项目设计（1标段）</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20190101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总建筑面积：479803.65平方米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11035483.95</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r>
      <w:tr w:rsidR="00077FCE" w:rsidRPr="00125B8B" w:rsidTr="00077FCE">
        <w:trPr>
          <w:gridAfter w:val="1"/>
          <w:wAfter w:w="5" w:type="pct"/>
        </w:trPr>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广西中马钦州产业园区方圆实业有限公司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中国·马来西亚钦州产业园区安置</w:t>
            </w:r>
            <w:proofErr w:type="gramStart"/>
            <w:r w:rsidRPr="00125B8B">
              <w:rPr>
                <w:rFonts w:ascii="微软雅黑" w:eastAsia="微软雅黑" w:hAnsi="微软雅黑" w:cs="宋体" w:hint="eastAsia"/>
                <w:color w:val="212121"/>
                <w:kern w:val="0"/>
                <w:szCs w:val="21"/>
              </w:rPr>
              <w:t>公寓北</w:t>
            </w:r>
            <w:proofErr w:type="gramEnd"/>
            <w:r w:rsidRPr="00125B8B">
              <w:rPr>
                <w:rFonts w:ascii="微软雅黑" w:eastAsia="微软雅黑" w:hAnsi="微软雅黑" w:cs="宋体" w:hint="eastAsia"/>
                <w:color w:val="212121"/>
                <w:kern w:val="0"/>
                <w:szCs w:val="21"/>
              </w:rPr>
              <w:t>小区项目、产业</w:t>
            </w:r>
            <w:proofErr w:type="gramStart"/>
            <w:r w:rsidRPr="00125B8B">
              <w:rPr>
                <w:rFonts w:ascii="微软雅黑" w:eastAsia="微软雅黑" w:hAnsi="微软雅黑" w:cs="宋体" w:hint="eastAsia"/>
                <w:color w:val="212121"/>
                <w:kern w:val="0"/>
                <w:szCs w:val="21"/>
              </w:rPr>
              <w:t>公寓南</w:t>
            </w:r>
            <w:proofErr w:type="gramEnd"/>
            <w:r w:rsidRPr="00125B8B">
              <w:rPr>
                <w:rFonts w:ascii="微软雅黑" w:eastAsia="微软雅黑" w:hAnsi="微软雅黑" w:cs="宋体" w:hint="eastAsia"/>
                <w:color w:val="212121"/>
                <w:kern w:val="0"/>
                <w:szCs w:val="21"/>
              </w:rPr>
              <w:t>小区项目工程</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20171201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总建筑面积约549005.88平方米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3319400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r>
      <w:tr w:rsidR="00125B8B" w:rsidRPr="00125B8B" w:rsidTr="00125B8B">
        <w:tc>
          <w:tcPr>
            <w:tcW w:w="5000" w:type="pct"/>
            <w:gridSpan w:val="8"/>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第一中标候选人技术负责人类似业绩((牵头人)广西壮族自治区城乡规划设计院，(成员)</w:t>
            </w:r>
            <w:proofErr w:type="gramStart"/>
            <w:r w:rsidRPr="00125B8B">
              <w:rPr>
                <w:rFonts w:ascii="微软雅黑" w:eastAsia="微软雅黑" w:hAnsi="微软雅黑" w:cs="宋体" w:hint="eastAsia"/>
                <w:color w:val="212121"/>
                <w:kern w:val="0"/>
                <w:szCs w:val="21"/>
              </w:rPr>
              <w:t>四川省蜀通岩土工程</w:t>
            </w:r>
            <w:proofErr w:type="gramEnd"/>
            <w:r w:rsidRPr="00125B8B">
              <w:rPr>
                <w:rFonts w:ascii="微软雅黑" w:eastAsia="微软雅黑" w:hAnsi="微软雅黑" w:cs="宋体" w:hint="eastAsia"/>
                <w:color w:val="212121"/>
                <w:kern w:val="0"/>
                <w:szCs w:val="21"/>
              </w:rPr>
              <w:t>公司)</w:t>
            </w: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125B8B" w:rsidRPr="00125B8B" w:rsidTr="00077FCE">
        <w:tc>
          <w:tcPr>
            <w:tcW w:w="4995"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第二中标候选人类似业绩</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w:t>
            </w:r>
            <w:proofErr w:type="gramStart"/>
            <w:r w:rsidRPr="00125B8B">
              <w:rPr>
                <w:rFonts w:ascii="微软雅黑" w:eastAsia="微软雅黑" w:hAnsi="微软雅黑" w:cs="宋体" w:hint="eastAsia"/>
                <w:color w:val="212121"/>
                <w:kern w:val="0"/>
                <w:szCs w:val="21"/>
              </w:rPr>
              <w:t>人居兴青置业</w:t>
            </w:r>
            <w:proofErr w:type="gramEnd"/>
            <w:r w:rsidRPr="00125B8B">
              <w:rPr>
                <w:rFonts w:ascii="微软雅黑" w:eastAsia="微软雅黑" w:hAnsi="微软雅黑" w:cs="宋体" w:hint="eastAsia"/>
                <w:color w:val="212121"/>
                <w:kern w:val="0"/>
                <w:szCs w:val="21"/>
              </w:rPr>
              <w:t>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大同峰</w:t>
            </w:r>
            <w:proofErr w:type="gramStart"/>
            <w:r w:rsidRPr="00125B8B">
              <w:rPr>
                <w:rFonts w:ascii="微软雅黑" w:eastAsia="微软雅黑" w:hAnsi="微软雅黑" w:cs="宋体" w:hint="eastAsia"/>
                <w:color w:val="212121"/>
                <w:kern w:val="0"/>
                <w:szCs w:val="21"/>
              </w:rPr>
              <w:t>荟</w:t>
            </w:r>
            <w:proofErr w:type="gramEnd"/>
            <w:r w:rsidRPr="00125B8B">
              <w:rPr>
                <w:rFonts w:ascii="微软雅黑" w:eastAsia="微软雅黑" w:hAnsi="微软雅黑" w:cs="宋体" w:hint="eastAsia"/>
                <w:color w:val="212121"/>
                <w:kern w:val="0"/>
                <w:szCs w:val="21"/>
              </w:rPr>
              <w:t>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20180601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总建筑面积约210000平方米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739163900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谢建东</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成都天投双创</w:t>
            </w:r>
            <w:proofErr w:type="gramEnd"/>
            <w:r w:rsidRPr="00125B8B">
              <w:rPr>
                <w:rFonts w:ascii="微软雅黑" w:eastAsia="微软雅黑" w:hAnsi="微软雅黑" w:cs="宋体" w:hint="eastAsia"/>
                <w:color w:val="212121"/>
                <w:kern w:val="0"/>
                <w:szCs w:val="21"/>
              </w:rPr>
              <w:t>园区建设投资有限</w:t>
            </w:r>
            <w:r w:rsidRPr="00125B8B">
              <w:rPr>
                <w:rFonts w:ascii="微软雅黑" w:eastAsia="微软雅黑" w:hAnsi="微软雅黑" w:cs="宋体" w:hint="eastAsia"/>
                <w:color w:val="212121"/>
                <w:kern w:val="0"/>
                <w:szCs w:val="21"/>
              </w:rPr>
              <w:lastRenderedPageBreak/>
              <w:t>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科学城天府</w:t>
            </w:r>
            <w:proofErr w:type="gramStart"/>
            <w:r w:rsidRPr="00125B8B">
              <w:rPr>
                <w:rFonts w:ascii="微软雅黑" w:eastAsia="微软雅黑" w:hAnsi="微软雅黑" w:cs="宋体" w:hint="eastAsia"/>
                <w:color w:val="212121"/>
                <w:kern w:val="0"/>
                <w:szCs w:val="21"/>
              </w:rPr>
              <w:t>科创园</w:t>
            </w:r>
            <w:proofErr w:type="gramEnd"/>
            <w:r w:rsidRPr="00125B8B">
              <w:rPr>
                <w:rFonts w:ascii="微软雅黑" w:eastAsia="微软雅黑" w:hAnsi="微软雅黑" w:cs="宋体" w:hint="eastAsia"/>
                <w:color w:val="212121"/>
                <w:kern w:val="0"/>
                <w:szCs w:val="21"/>
              </w:rPr>
              <w:t>及配套项目5号地块</w:t>
            </w:r>
            <w:r w:rsidRPr="00125B8B">
              <w:rPr>
                <w:rFonts w:ascii="微软雅黑" w:eastAsia="微软雅黑" w:hAnsi="微软雅黑" w:cs="宋体" w:hint="eastAsia"/>
                <w:color w:val="212121"/>
                <w:kern w:val="0"/>
                <w:szCs w:val="21"/>
              </w:rPr>
              <w:lastRenderedPageBreak/>
              <w:t>工程</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20171101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总建筑面积约30.9</w:t>
            </w:r>
            <w:r w:rsidRPr="00125B8B">
              <w:rPr>
                <w:rFonts w:ascii="微软雅黑" w:eastAsia="微软雅黑" w:hAnsi="微软雅黑" w:cs="宋体" w:hint="eastAsia"/>
                <w:color w:val="212121"/>
                <w:kern w:val="0"/>
                <w:szCs w:val="21"/>
              </w:rPr>
              <w:lastRenderedPageBreak/>
              <w:t>万平方米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954348892.66</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张文涛</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遂宁市富源实业有限公司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清静（净）新居二期、三期棚户区改造项目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20180401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建筑面积约293773平方米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4356000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虞辛</w:t>
            </w:r>
            <w:proofErr w:type="gramEnd"/>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成都市新津县国有资产投资经营有限责任公司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新津县安置房建设项目一期（普兴镇普兴社区一、二、三号地块）勘察设计</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20180201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建筑面积暂定323351.65平方米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21317100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虞辛</w:t>
            </w:r>
            <w:proofErr w:type="gramEnd"/>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成都市智汇新城投资发展有限公司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天</w:t>
            </w:r>
            <w:proofErr w:type="gramStart"/>
            <w:r w:rsidRPr="00125B8B">
              <w:rPr>
                <w:rFonts w:ascii="微软雅黑" w:eastAsia="微软雅黑" w:hAnsi="微软雅黑" w:cs="宋体" w:hint="eastAsia"/>
                <w:color w:val="212121"/>
                <w:kern w:val="0"/>
                <w:szCs w:val="21"/>
              </w:rPr>
              <w:t>和熙</w:t>
            </w:r>
            <w:proofErr w:type="gramEnd"/>
            <w:r w:rsidRPr="00125B8B">
              <w:rPr>
                <w:rFonts w:ascii="微软雅黑" w:eastAsia="微软雅黑" w:hAnsi="微软雅黑" w:cs="宋体" w:hint="eastAsia"/>
                <w:color w:val="212121"/>
                <w:kern w:val="0"/>
                <w:szCs w:val="21"/>
              </w:rPr>
              <w:t>城勘察设计项目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20190501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总建筑面积252600</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24000000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虞辛</w:t>
            </w:r>
            <w:proofErr w:type="gramEnd"/>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125B8B" w:rsidRPr="00125B8B" w:rsidTr="00077FCE">
        <w:tc>
          <w:tcPr>
            <w:tcW w:w="4995"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第二中标候选人项目负责人类似业绩</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技术负责人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成都市新津县国有资产投资经营有限责任公司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新津县安置房建设项目一期（普兴镇普兴社区一、二、三号地块）</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20180201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建筑面积暂定323351.65平方米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21317100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遂宁市富源实业有限公司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清静（净）新居二期、三期棚户区改造项目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20180401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建筑面积约293773平方米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4356000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成都市智汇新城投资发展有限公司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天</w:t>
            </w:r>
            <w:proofErr w:type="gramStart"/>
            <w:r w:rsidRPr="00125B8B">
              <w:rPr>
                <w:rFonts w:ascii="微软雅黑" w:eastAsia="微软雅黑" w:hAnsi="微软雅黑" w:cs="宋体" w:hint="eastAsia"/>
                <w:color w:val="212121"/>
                <w:kern w:val="0"/>
                <w:szCs w:val="21"/>
              </w:rPr>
              <w:t>和熙</w:t>
            </w:r>
            <w:proofErr w:type="gramEnd"/>
            <w:r w:rsidRPr="00125B8B">
              <w:rPr>
                <w:rFonts w:ascii="微软雅黑" w:eastAsia="微软雅黑" w:hAnsi="微软雅黑" w:cs="宋体" w:hint="eastAsia"/>
                <w:color w:val="212121"/>
                <w:kern w:val="0"/>
                <w:szCs w:val="21"/>
              </w:rPr>
              <w:t>城勘察设计项目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20190501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总建筑面积252600平方米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24000000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125B8B" w:rsidRPr="00125B8B" w:rsidTr="00125B8B">
        <w:tc>
          <w:tcPr>
            <w:tcW w:w="5000" w:type="pct"/>
            <w:gridSpan w:val="8"/>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第二中标候选人技术负责人类似业绩(核工业西南勘察设计研究院有限公司)</w:t>
            </w: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125B8B" w:rsidRPr="00125B8B" w:rsidTr="00077FCE">
        <w:tc>
          <w:tcPr>
            <w:tcW w:w="4995"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第三中标候选人类似业绩</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成都双流兴城置业有限公司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胜利镇空港花田黄水安置房工程项目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20190906</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建筑面积约237346平方米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12594480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赵红蕾</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成都轨道城市发展集团有限公司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roofErr w:type="gramStart"/>
            <w:r w:rsidRPr="00125B8B">
              <w:rPr>
                <w:rFonts w:ascii="微软雅黑" w:eastAsia="微软雅黑" w:hAnsi="微软雅黑" w:cs="宋体" w:hint="eastAsia"/>
                <w:color w:val="212121"/>
                <w:kern w:val="0"/>
                <w:szCs w:val="21"/>
              </w:rPr>
              <w:t>大观站</w:t>
            </w:r>
            <w:proofErr w:type="gramEnd"/>
            <w:r w:rsidRPr="00125B8B">
              <w:rPr>
                <w:rFonts w:ascii="微软雅黑" w:eastAsia="微软雅黑" w:hAnsi="微软雅黑" w:cs="宋体" w:hint="eastAsia"/>
                <w:color w:val="212121"/>
                <w:kern w:val="0"/>
                <w:szCs w:val="21"/>
              </w:rPr>
              <w:t>综合开发项目设计施工图设计标段</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20190901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56.91万平方米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23333100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李茂</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成都高投建设开发有限公司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三岔镇社区工程（一期）</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20170801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建筑规模约22万平方米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无</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银</w:t>
            </w:r>
            <w:proofErr w:type="gramStart"/>
            <w:r w:rsidRPr="00125B8B">
              <w:rPr>
                <w:rFonts w:ascii="微软雅黑" w:eastAsia="微软雅黑" w:hAnsi="微软雅黑" w:cs="宋体" w:hint="eastAsia"/>
                <w:color w:val="212121"/>
                <w:kern w:val="0"/>
                <w:szCs w:val="21"/>
              </w:rPr>
              <w:t>浩</w:t>
            </w:r>
            <w:proofErr w:type="gramEnd"/>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成都新开元城市建设投资有限公司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标准化厂房建设项目</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20180101</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建筑面积20万平方米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5000000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王加</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成都市轨道城市发展集团有限公司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四川师大站综合开发项目设计施工图设计标段</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20190912</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42.76万㎡</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17531600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李茂</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125B8B" w:rsidRPr="00125B8B" w:rsidTr="00077FCE">
        <w:tc>
          <w:tcPr>
            <w:tcW w:w="4995"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第三中标候选人项目负责人类似业绩</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技术负责人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成都双流兴城置业有限公司</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胜利镇空港花园田黄水安置房工程勘察设计</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20190906</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建筑面积约237346平方米</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12594480</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125B8B" w:rsidRPr="00125B8B" w:rsidTr="00125B8B">
        <w:tc>
          <w:tcPr>
            <w:tcW w:w="5000" w:type="pct"/>
            <w:gridSpan w:val="8"/>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第三中标候选人技术负责人类似业绩((牵头人)四川省建筑设计研究院有限公司，(成员)四川省川建勘察设计院)</w:t>
            </w: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项目业主</w:t>
            </w: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项目名称</w:t>
            </w: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开工日期</w:t>
            </w: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竣工（交工）日期</w:t>
            </w: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建设规模</w:t>
            </w: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合同价格（元）</w:t>
            </w: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center"/>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项目负责人</w:t>
            </w: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r w:rsidR="00077FCE" w:rsidRPr="00125B8B" w:rsidTr="00077FCE">
        <w:tc>
          <w:tcPr>
            <w:tcW w:w="10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12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4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9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6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0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42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5" w:type="pct"/>
            <w:vAlign w:val="center"/>
            <w:hideMark/>
          </w:tcPr>
          <w:p w:rsidR="00125B8B" w:rsidRPr="00125B8B" w:rsidRDefault="00125B8B" w:rsidP="0001379C">
            <w:pPr>
              <w:widowControl/>
              <w:spacing w:line="360" w:lineRule="exact"/>
              <w:jc w:val="left"/>
              <w:rPr>
                <w:rFonts w:ascii="Times New Roman" w:eastAsia="Times New Roman" w:hAnsi="Times New Roman" w:cs="Times New Roman"/>
                <w:kern w:val="0"/>
                <w:sz w:val="20"/>
                <w:szCs w:val="20"/>
              </w:rPr>
            </w:pPr>
          </w:p>
        </w:tc>
      </w:tr>
    </w:tbl>
    <w:p w:rsidR="00125B8B" w:rsidRPr="00125B8B" w:rsidRDefault="00125B8B" w:rsidP="0001379C">
      <w:pPr>
        <w:widowControl/>
        <w:spacing w:line="360" w:lineRule="exact"/>
        <w:jc w:val="left"/>
        <w:rPr>
          <w:rFonts w:ascii="微软雅黑" w:eastAsia="微软雅黑" w:hAnsi="微软雅黑" w:cs="宋体"/>
          <w:vanish/>
          <w:color w:val="000000"/>
          <w:kern w:val="0"/>
          <w:szCs w:val="21"/>
        </w:rPr>
      </w:pPr>
    </w:p>
    <w:tbl>
      <w:tblPr>
        <w:tblW w:w="5000" w:type="pct"/>
        <w:tblCellMar>
          <w:left w:w="0" w:type="dxa"/>
          <w:right w:w="0" w:type="dxa"/>
        </w:tblCellMar>
        <w:tblLook w:val="04A0" w:firstRow="1" w:lastRow="0" w:firstColumn="1" w:lastColumn="0" w:noHBand="0" w:noVBand="1"/>
      </w:tblPr>
      <w:tblGrid>
        <w:gridCol w:w="3887"/>
        <w:gridCol w:w="3887"/>
        <w:gridCol w:w="3887"/>
        <w:gridCol w:w="3887"/>
      </w:tblGrid>
      <w:tr w:rsidR="00125B8B" w:rsidRPr="00125B8B" w:rsidTr="00125B8B">
        <w:tc>
          <w:tcPr>
            <w:tcW w:w="5000" w:type="pct"/>
            <w:gridSpan w:val="4"/>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其他投标人（除中标候选人之外的）评审情况</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投标人名称</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投标报价（元）或否决投标依据条款（投标文件被认定为不合格所依据的招标文件评标办法中的评审因素和评审标准的条款）</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经评审的投标价（元）或否决投标理由（投标文件被认定为不合格的具体事实,不得简单地表述为未响应招标文件实质性内容、某处有问题等）</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综合评估得分或备注</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中国华西工程设计建设有限公司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按《工程勘察设计收费管理规定》(计价格【2002】10号、《关于进一步放开建</w:t>
            </w:r>
            <w:r w:rsidRPr="00125B8B">
              <w:rPr>
                <w:rFonts w:ascii="微软雅黑" w:eastAsia="微软雅黑" w:hAnsi="微软雅黑" w:cs="宋体" w:hint="eastAsia"/>
                <w:color w:val="212121"/>
                <w:kern w:val="0"/>
                <w:szCs w:val="21"/>
              </w:rPr>
              <w:lastRenderedPageBreak/>
              <w:t>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【2015】299号）文收费标准的76%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73.47</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贵州省建筑设计研究院有限责任公司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按《工程勘察设计收费管理规定》(计价格【2002】10号、《关于进一步放开建设项目专业服务价格的通知》（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【2015】299号）文收费标准的72%</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73.55</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(牵头人)中外建工程设计与顾问有限公司，(成员)中国建筑西南勘察设计研究院有限公司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按《工程勘察设计收费管理规定》(计价格【2002】10号、《关于进一步放开建设项目专业服务价格的通知》（</w:t>
            </w:r>
            <w:proofErr w:type="gramStart"/>
            <w:r w:rsidRPr="00125B8B">
              <w:rPr>
                <w:rFonts w:ascii="微软雅黑" w:eastAsia="微软雅黑" w:hAnsi="微软雅黑" w:cs="宋体" w:hint="eastAsia"/>
                <w:color w:val="212121"/>
                <w:kern w:val="0"/>
                <w:szCs w:val="21"/>
              </w:rPr>
              <w:t>发改价格</w:t>
            </w:r>
            <w:proofErr w:type="gramEnd"/>
            <w:r w:rsidRPr="00125B8B">
              <w:rPr>
                <w:rFonts w:ascii="微软雅黑" w:eastAsia="微软雅黑" w:hAnsi="微软雅黑" w:cs="宋体" w:hint="eastAsia"/>
                <w:color w:val="212121"/>
                <w:kern w:val="0"/>
                <w:szCs w:val="21"/>
              </w:rPr>
              <w:t>【2015】299号）文收费标准的69%</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80.54</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其它需公示的内容</w:t>
            </w:r>
          </w:p>
        </w:tc>
        <w:tc>
          <w:tcPr>
            <w:tcW w:w="3750"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无</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评标委员会成员名单</w:t>
            </w:r>
          </w:p>
        </w:tc>
        <w:tc>
          <w:tcPr>
            <w:tcW w:w="3750"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姓名：杨开福</w:t>
            </w:r>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单位：四川厚德咨询工程有限公司</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w:t>
            </w:r>
            <w:proofErr w:type="gramStart"/>
            <w:r w:rsidRPr="00125B8B">
              <w:rPr>
                <w:rFonts w:ascii="微软雅黑" w:eastAsia="微软雅黑" w:hAnsi="微软雅黑" w:cs="宋体" w:hint="eastAsia"/>
                <w:color w:val="212121"/>
                <w:kern w:val="0"/>
                <w:szCs w:val="21"/>
              </w:rPr>
              <w:t>付兵</w:t>
            </w:r>
            <w:proofErr w:type="gramEnd"/>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单位：四川省水利院</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姓名：周莉萍</w:t>
            </w:r>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单位：业主代表</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w:t>
            </w:r>
            <w:proofErr w:type="gramStart"/>
            <w:r w:rsidRPr="00125B8B">
              <w:rPr>
                <w:rFonts w:ascii="微软雅黑" w:eastAsia="微软雅黑" w:hAnsi="微软雅黑" w:cs="宋体" w:hint="eastAsia"/>
                <w:color w:val="212121"/>
                <w:kern w:val="0"/>
                <w:szCs w:val="21"/>
              </w:rPr>
              <w:t>夏思源</w:t>
            </w:r>
            <w:proofErr w:type="gramEnd"/>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单位：业主代表</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姓名：李柯</w:t>
            </w:r>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单位：四川中和项目管理有限公司</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姓名：彭闯</w:t>
            </w:r>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单位：四川</w:t>
            </w:r>
            <w:proofErr w:type="gramStart"/>
            <w:r w:rsidRPr="00125B8B">
              <w:rPr>
                <w:rFonts w:ascii="微软雅黑" w:eastAsia="微软雅黑" w:hAnsi="微软雅黑" w:cs="宋体" w:hint="eastAsia"/>
                <w:color w:val="212121"/>
                <w:kern w:val="0"/>
                <w:szCs w:val="21"/>
              </w:rPr>
              <w:t>邦</w:t>
            </w:r>
            <w:proofErr w:type="gramEnd"/>
            <w:r w:rsidRPr="00125B8B">
              <w:rPr>
                <w:rFonts w:ascii="微软雅黑" w:eastAsia="微软雅黑" w:hAnsi="微软雅黑" w:cs="宋体" w:hint="eastAsia"/>
                <w:color w:val="212121"/>
                <w:kern w:val="0"/>
                <w:szCs w:val="21"/>
              </w:rPr>
              <w:t>正建管</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姓名：裴昕</w:t>
            </w:r>
            <w:r>
              <w:rPr>
                <w:rFonts w:ascii="微软雅黑" w:eastAsia="微软雅黑" w:hAnsi="微软雅黑" w:cs="宋体" w:hint="eastAsia"/>
                <w:color w:val="212121"/>
                <w:kern w:val="0"/>
                <w:szCs w:val="21"/>
              </w:rPr>
              <w:t xml:space="preserve">       </w:t>
            </w:r>
            <w:r w:rsidRPr="00125B8B">
              <w:rPr>
                <w:rFonts w:ascii="微软雅黑" w:eastAsia="微软雅黑" w:hAnsi="微软雅黑" w:cs="宋体" w:hint="eastAsia"/>
                <w:color w:val="212121"/>
                <w:kern w:val="0"/>
                <w:szCs w:val="21"/>
              </w:rPr>
              <w:t>单位：</w:t>
            </w:r>
            <w:proofErr w:type="gramStart"/>
            <w:r w:rsidRPr="00125B8B">
              <w:rPr>
                <w:rFonts w:ascii="微软雅黑" w:eastAsia="微软雅黑" w:hAnsi="微软雅黑" w:cs="宋体" w:hint="eastAsia"/>
                <w:color w:val="212121"/>
                <w:kern w:val="0"/>
                <w:szCs w:val="21"/>
              </w:rPr>
              <w:t>晨越建</w:t>
            </w:r>
            <w:proofErr w:type="gramEnd"/>
            <w:r w:rsidRPr="00125B8B">
              <w:rPr>
                <w:rFonts w:ascii="微软雅黑" w:eastAsia="微软雅黑" w:hAnsi="微软雅黑" w:cs="宋体" w:hint="eastAsia"/>
                <w:color w:val="212121"/>
                <w:kern w:val="0"/>
                <w:szCs w:val="21"/>
              </w:rPr>
              <w:t>管</w:t>
            </w:r>
          </w:p>
        </w:tc>
      </w:tr>
      <w:tr w:rsidR="00125B8B" w:rsidRPr="00125B8B" w:rsidTr="00125B8B">
        <w:tc>
          <w:tcPr>
            <w:tcW w:w="1250"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监督部门名称及监督电话</w:t>
            </w:r>
          </w:p>
        </w:tc>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项目审批部门:金牛区发展和</w:t>
            </w:r>
            <w:proofErr w:type="gramStart"/>
            <w:r w:rsidRPr="00125B8B">
              <w:rPr>
                <w:rFonts w:ascii="微软雅黑" w:eastAsia="微软雅黑" w:hAnsi="微软雅黑" w:cs="宋体" w:hint="eastAsia"/>
                <w:color w:val="212121"/>
                <w:kern w:val="0"/>
                <w:szCs w:val="21"/>
              </w:rPr>
              <w:t>改革局</w:t>
            </w:r>
            <w:proofErr w:type="gramEnd"/>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联系电话:028-87705661</w:t>
            </w:r>
          </w:p>
        </w:tc>
      </w:tr>
      <w:tr w:rsidR="00125B8B" w:rsidRPr="00125B8B" w:rsidTr="00125B8B">
        <w:tc>
          <w:tcPr>
            <w:tcW w:w="1250" w:type="pct"/>
            <w:vMerge/>
            <w:tcBorders>
              <w:top w:val="single" w:sz="6" w:space="0" w:color="212121"/>
              <w:left w:val="single" w:sz="6" w:space="0" w:color="212121"/>
              <w:bottom w:val="single" w:sz="6" w:space="0" w:color="212121"/>
              <w:right w:val="single" w:sz="6" w:space="0" w:color="212121"/>
            </w:tcBorders>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p>
        </w:tc>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行业主管部门：金牛区住房建设和交通运输局</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联系电话：028-87650565</w:t>
            </w:r>
          </w:p>
        </w:tc>
      </w:tr>
      <w:tr w:rsidR="00125B8B" w:rsidRPr="00125B8B" w:rsidTr="00125B8B">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异议投诉注意事项</w:t>
            </w:r>
          </w:p>
        </w:tc>
        <w:tc>
          <w:tcPr>
            <w:tcW w:w="3750"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1.投标人或者其他利害关系人对依法必须进行招标的项目的评标结果有异议的，应当在中标候选人公示期间提出。招标人应当自收到异议之日起3日内</w:t>
            </w:r>
            <w:proofErr w:type="gramStart"/>
            <w:r w:rsidRPr="00125B8B">
              <w:rPr>
                <w:rFonts w:ascii="微软雅黑" w:eastAsia="微软雅黑" w:hAnsi="微软雅黑" w:cs="宋体" w:hint="eastAsia"/>
                <w:color w:val="212121"/>
                <w:kern w:val="0"/>
                <w:szCs w:val="21"/>
              </w:rPr>
              <w:t>作出</w:t>
            </w:r>
            <w:proofErr w:type="gramEnd"/>
            <w:r w:rsidRPr="00125B8B">
              <w:rPr>
                <w:rFonts w:ascii="微软雅黑" w:eastAsia="微软雅黑" w:hAnsi="微软雅黑" w:cs="宋体" w:hint="eastAsia"/>
                <w:color w:val="212121"/>
                <w:kern w:val="0"/>
                <w:szCs w:val="21"/>
              </w:rPr>
              <w:t>答复；</w:t>
            </w:r>
            <w:proofErr w:type="gramStart"/>
            <w:r w:rsidRPr="00125B8B">
              <w:rPr>
                <w:rFonts w:ascii="微软雅黑" w:eastAsia="微软雅黑" w:hAnsi="微软雅黑" w:cs="宋体" w:hint="eastAsia"/>
                <w:color w:val="212121"/>
                <w:kern w:val="0"/>
                <w:szCs w:val="21"/>
              </w:rPr>
              <w:t>作出</w:t>
            </w:r>
            <w:proofErr w:type="gramEnd"/>
            <w:r w:rsidRPr="00125B8B">
              <w:rPr>
                <w:rFonts w:ascii="微软雅黑" w:eastAsia="微软雅黑" w:hAnsi="微软雅黑" w:cs="宋体" w:hint="eastAsia"/>
                <w:color w:val="212121"/>
                <w:kern w:val="0"/>
                <w:szCs w:val="21"/>
              </w:rPr>
              <w:t>答复前，应当暂停招标投标活动。</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3.对评标结果的投诉，涉及投标人弄虚作假骗取中标的由行业主管部门负责受理，涉及评标错误或评标无效的由项目审批部门</w:t>
            </w:r>
            <w:r w:rsidRPr="00125B8B">
              <w:rPr>
                <w:rFonts w:ascii="微软雅黑" w:eastAsia="微软雅黑" w:hAnsi="微软雅黑" w:cs="宋体" w:hint="eastAsia"/>
                <w:color w:val="212121"/>
                <w:kern w:val="0"/>
                <w:szCs w:val="21"/>
              </w:rPr>
              <w:lastRenderedPageBreak/>
              <w:t>负责受理。</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4.投诉人就同一事项向两个以上有权受理的行政监督部门投诉的，由最先收到投诉的行政监督部门负责处理。</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5.应先提出异议没有提出异议，超过投诉时效等不符合受理条件的投诉，有关行政监督部门不予受理；</w:t>
            </w:r>
          </w:p>
          <w:p w:rsidR="00125B8B" w:rsidRPr="00125B8B" w:rsidRDefault="00125B8B" w:rsidP="0062705B">
            <w:pPr>
              <w:widowControl/>
              <w:spacing w:line="34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投诉人故意捏造事实、伪造证明材料或者以非法手段取得证明材料进行投诉，给他人造成损失的，依法承担赔偿责任。</w:t>
            </w:r>
          </w:p>
        </w:tc>
      </w:tr>
      <w:tr w:rsidR="00125B8B" w:rsidRPr="00125B8B" w:rsidTr="00125B8B">
        <w:trPr>
          <w:trHeight w:val="1050"/>
        </w:trPr>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lastRenderedPageBreak/>
              <w:t>招标人主要负责人签字、盖单位章:</w:t>
            </w:r>
            <w:r w:rsidRPr="00125B8B">
              <w:rPr>
                <w:rFonts w:ascii="微软雅黑" w:eastAsia="微软雅黑" w:hAnsi="微软雅黑" w:cs="宋体" w:hint="eastAsia"/>
                <w:color w:val="212121"/>
                <w:kern w:val="0"/>
                <w:szCs w:val="21"/>
              </w:rPr>
              <w:br/>
              <w:t> </w:t>
            </w:r>
          </w:p>
        </w:tc>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125B8B" w:rsidRPr="00125B8B" w:rsidRDefault="00125B8B" w:rsidP="0001379C">
            <w:pPr>
              <w:widowControl/>
              <w:spacing w:line="360" w:lineRule="exact"/>
              <w:jc w:val="left"/>
              <w:rPr>
                <w:rFonts w:ascii="微软雅黑" w:eastAsia="微软雅黑" w:hAnsi="微软雅黑" w:cs="宋体"/>
                <w:color w:val="212121"/>
                <w:kern w:val="0"/>
                <w:szCs w:val="21"/>
              </w:rPr>
            </w:pPr>
            <w:r w:rsidRPr="00125B8B">
              <w:rPr>
                <w:rFonts w:ascii="微软雅黑" w:eastAsia="微软雅黑" w:hAnsi="微软雅黑" w:cs="宋体" w:hint="eastAsia"/>
                <w:color w:val="212121"/>
                <w:kern w:val="0"/>
                <w:szCs w:val="21"/>
              </w:rPr>
              <w:t>招标代理机构主要负责人签字、盖单位章：</w:t>
            </w:r>
            <w:r w:rsidRPr="00125B8B">
              <w:rPr>
                <w:rFonts w:ascii="微软雅黑" w:eastAsia="微软雅黑" w:hAnsi="微软雅黑" w:cs="宋体" w:hint="eastAsia"/>
                <w:color w:val="212121"/>
                <w:kern w:val="0"/>
                <w:szCs w:val="21"/>
              </w:rPr>
              <w:br/>
              <w:t> </w:t>
            </w:r>
          </w:p>
        </w:tc>
      </w:tr>
    </w:tbl>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2.中标候选人是联合体的，“中标候选人名称”中联合体各方的名称均应填写。</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3.表中的“中标候选人类似业绩”和“中标候选人项目负责人类似业绩” 应填写中标候选人在投标文件中所附所有业绩。</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5.表中的“开工日期”和“竣工日期”、“交工日期”以各有关行政监督部门相关规定为准。</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6.日期（年月日）的格式统一以阿拉伯数字表示。如：2015年9月1日，填写为20150901； 2015年9月，填写为201509； 再如2015年，填写为2015，2015/9/15 9:00:00填写为20150915－9:00:00。</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7.表中的“合同价格”，是指承包人按合同约定完成了包括缺陷责任期内的全部承包工作后，发包人应付给承包人的金额，包括在履行合同过程中按合同约定进行的变更和调整。</w:t>
      </w:r>
      <w:proofErr w:type="gramStart"/>
      <w:r w:rsidRPr="00125B8B">
        <w:rPr>
          <w:rFonts w:ascii="微软雅黑" w:eastAsia="微软雅黑" w:hAnsi="微软雅黑" w:cs="宋体" w:hint="eastAsia"/>
          <w:color w:val="000000"/>
          <w:kern w:val="0"/>
          <w:szCs w:val="21"/>
        </w:rPr>
        <w:t>元指人民币</w:t>
      </w:r>
      <w:proofErr w:type="gramEnd"/>
      <w:r w:rsidRPr="00125B8B">
        <w:rPr>
          <w:rFonts w:ascii="微软雅黑" w:eastAsia="微软雅黑" w:hAnsi="微软雅黑" w:cs="宋体" w:hint="eastAsia"/>
          <w:color w:val="000000"/>
          <w:kern w:val="0"/>
          <w:szCs w:val="21"/>
        </w:rPr>
        <w:t>元。</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8.表中的“建设规模”采购招标应填写主要货物的数量、类型、规格等技术参数。</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10.所有的评标委员会成员（含业主评标代表）都需要填写；评标委员会成员有多个单位的，都需要填写。</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11.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rsidR="00125B8B" w:rsidRPr="00125B8B" w:rsidRDefault="00125B8B" w:rsidP="0001379C">
      <w:pPr>
        <w:widowControl/>
        <w:spacing w:line="360" w:lineRule="exact"/>
        <w:jc w:val="left"/>
        <w:rPr>
          <w:rFonts w:ascii="微软雅黑" w:eastAsia="微软雅黑" w:hAnsi="微软雅黑" w:cs="宋体"/>
          <w:color w:val="000000"/>
          <w:kern w:val="0"/>
          <w:szCs w:val="21"/>
        </w:rPr>
      </w:pPr>
      <w:r w:rsidRPr="00125B8B">
        <w:rPr>
          <w:rFonts w:ascii="微软雅黑" w:eastAsia="微软雅黑" w:hAnsi="微软雅黑" w:cs="宋体" w:hint="eastAsia"/>
          <w:color w:val="000000"/>
          <w:kern w:val="0"/>
          <w:szCs w:val="21"/>
        </w:rPr>
        <w:t>12.中标候选人公示纸质文本招标人须加盖单位公章，多页还应加盖骑缝章。</w:t>
      </w:r>
    </w:p>
    <w:p w:rsidR="008241C5" w:rsidRDefault="008241C5" w:rsidP="0001379C">
      <w:pPr>
        <w:spacing w:line="360" w:lineRule="exact"/>
      </w:pPr>
    </w:p>
    <w:sectPr w:rsidR="008241C5" w:rsidSect="00077FCE">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2F" w:rsidRDefault="00B21C2F" w:rsidP="00464CEE">
      <w:r>
        <w:separator/>
      </w:r>
    </w:p>
  </w:endnote>
  <w:endnote w:type="continuationSeparator" w:id="0">
    <w:p w:rsidR="00B21C2F" w:rsidRDefault="00B21C2F" w:rsidP="0046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2F" w:rsidRDefault="00B21C2F" w:rsidP="00464CEE">
      <w:r>
        <w:separator/>
      </w:r>
    </w:p>
  </w:footnote>
  <w:footnote w:type="continuationSeparator" w:id="0">
    <w:p w:rsidR="00B21C2F" w:rsidRDefault="00B21C2F" w:rsidP="0046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8B"/>
    <w:rsid w:val="0001379C"/>
    <w:rsid w:val="00077FCE"/>
    <w:rsid w:val="00125B8B"/>
    <w:rsid w:val="00464CEE"/>
    <w:rsid w:val="0062705B"/>
    <w:rsid w:val="008241C5"/>
    <w:rsid w:val="00B2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5B8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64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4CEE"/>
    <w:rPr>
      <w:sz w:val="18"/>
      <w:szCs w:val="18"/>
    </w:rPr>
  </w:style>
  <w:style w:type="paragraph" w:styleId="a5">
    <w:name w:val="footer"/>
    <w:basedOn w:val="a"/>
    <w:link w:val="Char0"/>
    <w:uiPriority w:val="99"/>
    <w:unhideWhenUsed/>
    <w:rsid w:val="00464CEE"/>
    <w:pPr>
      <w:tabs>
        <w:tab w:val="center" w:pos="4153"/>
        <w:tab w:val="right" w:pos="8306"/>
      </w:tabs>
      <w:snapToGrid w:val="0"/>
      <w:jc w:val="left"/>
    </w:pPr>
    <w:rPr>
      <w:sz w:val="18"/>
      <w:szCs w:val="18"/>
    </w:rPr>
  </w:style>
  <w:style w:type="character" w:customStyle="1" w:styleId="Char0">
    <w:name w:val="页脚 Char"/>
    <w:basedOn w:val="a0"/>
    <w:link w:val="a5"/>
    <w:uiPriority w:val="99"/>
    <w:rsid w:val="00464CEE"/>
    <w:rPr>
      <w:sz w:val="18"/>
      <w:szCs w:val="18"/>
    </w:rPr>
  </w:style>
  <w:style w:type="paragraph" w:styleId="a6">
    <w:name w:val="Balloon Text"/>
    <w:basedOn w:val="a"/>
    <w:link w:val="Char1"/>
    <w:uiPriority w:val="99"/>
    <w:semiHidden/>
    <w:unhideWhenUsed/>
    <w:rsid w:val="00464CEE"/>
    <w:rPr>
      <w:sz w:val="18"/>
      <w:szCs w:val="18"/>
    </w:rPr>
  </w:style>
  <w:style w:type="character" w:customStyle="1" w:styleId="Char1">
    <w:name w:val="批注框文本 Char"/>
    <w:basedOn w:val="a0"/>
    <w:link w:val="a6"/>
    <w:uiPriority w:val="99"/>
    <w:semiHidden/>
    <w:rsid w:val="00464C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5B8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64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4CEE"/>
    <w:rPr>
      <w:sz w:val="18"/>
      <w:szCs w:val="18"/>
    </w:rPr>
  </w:style>
  <w:style w:type="paragraph" w:styleId="a5">
    <w:name w:val="footer"/>
    <w:basedOn w:val="a"/>
    <w:link w:val="Char0"/>
    <w:uiPriority w:val="99"/>
    <w:unhideWhenUsed/>
    <w:rsid w:val="00464CEE"/>
    <w:pPr>
      <w:tabs>
        <w:tab w:val="center" w:pos="4153"/>
        <w:tab w:val="right" w:pos="8306"/>
      </w:tabs>
      <w:snapToGrid w:val="0"/>
      <w:jc w:val="left"/>
    </w:pPr>
    <w:rPr>
      <w:sz w:val="18"/>
      <w:szCs w:val="18"/>
    </w:rPr>
  </w:style>
  <w:style w:type="character" w:customStyle="1" w:styleId="Char0">
    <w:name w:val="页脚 Char"/>
    <w:basedOn w:val="a0"/>
    <w:link w:val="a5"/>
    <w:uiPriority w:val="99"/>
    <w:rsid w:val="00464CEE"/>
    <w:rPr>
      <w:sz w:val="18"/>
      <w:szCs w:val="18"/>
    </w:rPr>
  </w:style>
  <w:style w:type="paragraph" w:styleId="a6">
    <w:name w:val="Balloon Text"/>
    <w:basedOn w:val="a"/>
    <w:link w:val="Char1"/>
    <w:uiPriority w:val="99"/>
    <w:semiHidden/>
    <w:unhideWhenUsed/>
    <w:rsid w:val="00464CEE"/>
    <w:rPr>
      <w:sz w:val="18"/>
      <w:szCs w:val="18"/>
    </w:rPr>
  </w:style>
  <w:style w:type="character" w:customStyle="1" w:styleId="Char1">
    <w:name w:val="批注框文本 Char"/>
    <w:basedOn w:val="a0"/>
    <w:link w:val="a6"/>
    <w:uiPriority w:val="99"/>
    <w:semiHidden/>
    <w:rsid w:val="00464C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213094">
      <w:bodyDiv w:val="1"/>
      <w:marLeft w:val="0"/>
      <w:marRight w:val="0"/>
      <w:marTop w:val="0"/>
      <w:marBottom w:val="0"/>
      <w:divBdr>
        <w:top w:val="none" w:sz="0" w:space="0" w:color="auto"/>
        <w:left w:val="none" w:sz="0" w:space="0" w:color="auto"/>
        <w:bottom w:val="none" w:sz="0" w:space="0" w:color="auto"/>
        <w:right w:val="none" w:sz="0" w:space="0" w:color="auto"/>
      </w:divBdr>
      <w:divsChild>
        <w:div w:id="2064939092">
          <w:marLeft w:val="0"/>
          <w:marRight w:val="0"/>
          <w:marTop w:val="0"/>
          <w:marBottom w:val="0"/>
          <w:divBdr>
            <w:top w:val="none" w:sz="0" w:space="0" w:color="auto"/>
            <w:left w:val="none" w:sz="0" w:space="0" w:color="auto"/>
            <w:bottom w:val="none" w:sz="0" w:space="0" w:color="auto"/>
            <w:right w:val="none" w:sz="0" w:space="0" w:color="auto"/>
          </w:divBdr>
          <w:divsChild>
            <w:div w:id="1793741346">
              <w:marLeft w:val="0"/>
              <w:marRight w:val="0"/>
              <w:marTop w:val="0"/>
              <w:marBottom w:val="0"/>
              <w:divBdr>
                <w:top w:val="none" w:sz="0" w:space="0" w:color="auto"/>
                <w:left w:val="none" w:sz="0" w:space="0" w:color="auto"/>
                <w:bottom w:val="none" w:sz="0" w:space="0" w:color="auto"/>
                <w:right w:val="none" w:sz="0" w:space="0" w:color="auto"/>
              </w:divBdr>
              <w:divsChild>
                <w:div w:id="1264849104">
                  <w:marLeft w:val="0"/>
                  <w:marRight w:val="0"/>
                  <w:marTop w:val="0"/>
                  <w:marBottom w:val="0"/>
                  <w:divBdr>
                    <w:top w:val="none" w:sz="0" w:space="0" w:color="auto"/>
                    <w:left w:val="none" w:sz="0" w:space="0" w:color="auto"/>
                    <w:bottom w:val="none" w:sz="0" w:space="0" w:color="auto"/>
                    <w:right w:val="none" w:sz="0" w:space="0" w:color="auto"/>
                  </w:divBdr>
                </w:div>
                <w:div w:id="96029193">
                  <w:marLeft w:val="0"/>
                  <w:marRight w:val="0"/>
                  <w:marTop w:val="0"/>
                  <w:marBottom w:val="0"/>
                  <w:divBdr>
                    <w:top w:val="none" w:sz="0" w:space="0" w:color="auto"/>
                    <w:left w:val="none" w:sz="0" w:space="0" w:color="auto"/>
                    <w:bottom w:val="none" w:sz="0" w:space="0" w:color="auto"/>
                    <w:right w:val="none" w:sz="0" w:space="0" w:color="auto"/>
                  </w:divBdr>
                </w:div>
              </w:divsChild>
            </w:div>
            <w:div w:id="1174568225">
              <w:marLeft w:val="0"/>
              <w:marRight w:val="0"/>
              <w:marTop w:val="0"/>
              <w:marBottom w:val="0"/>
              <w:divBdr>
                <w:top w:val="none" w:sz="0" w:space="0" w:color="auto"/>
                <w:left w:val="none" w:sz="0" w:space="0" w:color="auto"/>
                <w:bottom w:val="none" w:sz="0" w:space="0" w:color="auto"/>
                <w:right w:val="none" w:sz="0" w:space="0" w:color="auto"/>
              </w:divBdr>
              <w:divsChild>
                <w:div w:id="1889881276">
                  <w:marLeft w:val="0"/>
                  <w:marRight w:val="0"/>
                  <w:marTop w:val="0"/>
                  <w:marBottom w:val="0"/>
                  <w:divBdr>
                    <w:top w:val="none" w:sz="0" w:space="0" w:color="auto"/>
                    <w:left w:val="none" w:sz="0" w:space="0" w:color="auto"/>
                    <w:bottom w:val="none" w:sz="0" w:space="0" w:color="auto"/>
                    <w:right w:val="none" w:sz="0" w:space="0" w:color="auto"/>
                  </w:divBdr>
                </w:div>
                <w:div w:id="1818523611">
                  <w:marLeft w:val="0"/>
                  <w:marRight w:val="0"/>
                  <w:marTop w:val="0"/>
                  <w:marBottom w:val="0"/>
                  <w:divBdr>
                    <w:top w:val="none" w:sz="0" w:space="0" w:color="auto"/>
                    <w:left w:val="none" w:sz="0" w:space="0" w:color="auto"/>
                    <w:bottom w:val="none" w:sz="0" w:space="0" w:color="auto"/>
                    <w:right w:val="none" w:sz="0" w:space="0" w:color="auto"/>
                  </w:divBdr>
                </w:div>
              </w:divsChild>
            </w:div>
            <w:div w:id="1256551419">
              <w:marLeft w:val="0"/>
              <w:marRight w:val="0"/>
              <w:marTop w:val="0"/>
              <w:marBottom w:val="0"/>
              <w:divBdr>
                <w:top w:val="none" w:sz="0" w:space="0" w:color="auto"/>
                <w:left w:val="none" w:sz="0" w:space="0" w:color="auto"/>
                <w:bottom w:val="none" w:sz="0" w:space="0" w:color="auto"/>
                <w:right w:val="none" w:sz="0" w:space="0" w:color="auto"/>
              </w:divBdr>
              <w:divsChild>
                <w:div w:id="88435073">
                  <w:marLeft w:val="0"/>
                  <w:marRight w:val="0"/>
                  <w:marTop w:val="0"/>
                  <w:marBottom w:val="0"/>
                  <w:divBdr>
                    <w:top w:val="none" w:sz="0" w:space="0" w:color="auto"/>
                    <w:left w:val="none" w:sz="0" w:space="0" w:color="auto"/>
                    <w:bottom w:val="none" w:sz="0" w:space="0" w:color="auto"/>
                    <w:right w:val="none" w:sz="0" w:space="0" w:color="auto"/>
                  </w:divBdr>
                </w:div>
                <w:div w:id="740251559">
                  <w:marLeft w:val="0"/>
                  <w:marRight w:val="0"/>
                  <w:marTop w:val="0"/>
                  <w:marBottom w:val="0"/>
                  <w:divBdr>
                    <w:top w:val="none" w:sz="0" w:space="0" w:color="auto"/>
                    <w:left w:val="none" w:sz="0" w:space="0" w:color="auto"/>
                    <w:bottom w:val="none" w:sz="0" w:space="0" w:color="auto"/>
                    <w:right w:val="none" w:sz="0" w:space="0" w:color="auto"/>
                  </w:divBdr>
                </w:div>
              </w:divsChild>
            </w:div>
            <w:div w:id="230315513">
              <w:marLeft w:val="0"/>
              <w:marRight w:val="0"/>
              <w:marTop w:val="0"/>
              <w:marBottom w:val="0"/>
              <w:divBdr>
                <w:top w:val="none" w:sz="0" w:space="0" w:color="auto"/>
                <w:left w:val="none" w:sz="0" w:space="0" w:color="auto"/>
                <w:bottom w:val="none" w:sz="0" w:space="0" w:color="auto"/>
                <w:right w:val="none" w:sz="0" w:space="0" w:color="auto"/>
              </w:divBdr>
              <w:divsChild>
                <w:div w:id="85615869">
                  <w:marLeft w:val="0"/>
                  <w:marRight w:val="0"/>
                  <w:marTop w:val="0"/>
                  <w:marBottom w:val="0"/>
                  <w:divBdr>
                    <w:top w:val="none" w:sz="0" w:space="0" w:color="auto"/>
                    <w:left w:val="none" w:sz="0" w:space="0" w:color="auto"/>
                    <w:bottom w:val="none" w:sz="0" w:space="0" w:color="auto"/>
                    <w:right w:val="none" w:sz="0" w:space="0" w:color="auto"/>
                  </w:divBdr>
                </w:div>
                <w:div w:id="1438402228">
                  <w:marLeft w:val="0"/>
                  <w:marRight w:val="0"/>
                  <w:marTop w:val="0"/>
                  <w:marBottom w:val="0"/>
                  <w:divBdr>
                    <w:top w:val="none" w:sz="0" w:space="0" w:color="auto"/>
                    <w:left w:val="none" w:sz="0" w:space="0" w:color="auto"/>
                    <w:bottom w:val="none" w:sz="0" w:space="0" w:color="auto"/>
                    <w:right w:val="none" w:sz="0" w:space="0" w:color="auto"/>
                  </w:divBdr>
                </w:div>
              </w:divsChild>
            </w:div>
            <w:div w:id="2132093783">
              <w:marLeft w:val="0"/>
              <w:marRight w:val="0"/>
              <w:marTop w:val="0"/>
              <w:marBottom w:val="0"/>
              <w:divBdr>
                <w:top w:val="none" w:sz="0" w:space="0" w:color="auto"/>
                <w:left w:val="none" w:sz="0" w:space="0" w:color="auto"/>
                <w:bottom w:val="none" w:sz="0" w:space="0" w:color="auto"/>
                <w:right w:val="none" w:sz="0" w:space="0" w:color="auto"/>
              </w:divBdr>
              <w:divsChild>
                <w:div w:id="1149633320">
                  <w:marLeft w:val="0"/>
                  <w:marRight w:val="0"/>
                  <w:marTop w:val="0"/>
                  <w:marBottom w:val="0"/>
                  <w:divBdr>
                    <w:top w:val="none" w:sz="0" w:space="0" w:color="auto"/>
                    <w:left w:val="none" w:sz="0" w:space="0" w:color="auto"/>
                    <w:bottom w:val="none" w:sz="0" w:space="0" w:color="auto"/>
                    <w:right w:val="none" w:sz="0" w:space="0" w:color="auto"/>
                  </w:divBdr>
                </w:div>
                <w:div w:id="820465159">
                  <w:marLeft w:val="0"/>
                  <w:marRight w:val="0"/>
                  <w:marTop w:val="0"/>
                  <w:marBottom w:val="0"/>
                  <w:divBdr>
                    <w:top w:val="none" w:sz="0" w:space="0" w:color="auto"/>
                    <w:left w:val="none" w:sz="0" w:space="0" w:color="auto"/>
                    <w:bottom w:val="none" w:sz="0" w:space="0" w:color="auto"/>
                    <w:right w:val="none" w:sz="0" w:space="0" w:color="auto"/>
                  </w:divBdr>
                </w:div>
              </w:divsChild>
            </w:div>
            <w:div w:id="1105491903">
              <w:marLeft w:val="0"/>
              <w:marRight w:val="0"/>
              <w:marTop w:val="0"/>
              <w:marBottom w:val="0"/>
              <w:divBdr>
                <w:top w:val="none" w:sz="0" w:space="0" w:color="auto"/>
                <w:left w:val="none" w:sz="0" w:space="0" w:color="auto"/>
                <w:bottom w:val="none" w:sz="0" w:space="0" w:color="auto"/>
                <w:right w:val="none" w:sz="0" w:space="0" w:color="auto"/>
              </w:divBdr>
              <w:divsChild>
                <w:div w:id="996423013">
                  <w:marLeft w:val="0"/>
                  <w:marRight w:val="0"/>
                  <w:marTop w:val="0"/>
                  <w:marBottom w:val="0"/>
                  <w:divBdr>
                    <w:top w:val="none" w:sz="0" w:space="0" w:color="auto"/>
                    <w:left w:val="none" w:sz="0" w:space="0" w:color="auto"/>
                    <w:bottom w:val="none" w:sz="0" w:space="0" w:color="auto"/>
                    <w:right w:val="none" w:sz="0" w:space="0" w:color="auto"/>
                  </w:divBdr>
                </w:div>
                <w:div w:id="1774813111">
                  <w:marLeft w:val="0"/>
                  <w:marRight w:val="0"/>
                  <w:marTop w:val="0"/>
                  <w:marBottom w:val="0"/>
                  <w:divBdr>
                    <w:top w:val="none" w:sz="0" w:space="0" w:color="auto"/>
                    <w:left w:val="none" w:sz="0" w:space="0" w:color="auto"/>
                    <w:bottom w:val="none" w:sz="0" w:space="0" w:color="auto"/>
                    <w:right w:val="none" w:sz="0" w:space="0" w:color="auto"/>
                  </w:divBdr>
                </w:div>
              </w:divsChild>
            </w:div>
            <w:div w:id="1635482240">
              <w:marLeft w:val="0"/>
              <w:marRight w:val="0"/>
              <w:marTop w:val="0"/>
              <w:marBottom w:val="0"/>
              <w:divBdr>
                <w:top w:val="none" w:sz="0" w:space="0" w:color="auto"/>
                <w:left w:val="none" w:sz="0" w:space="0" w:color="auto"/>
                <w:bottom w:val="none" w:sz="0" w:space="0" w:color="auto"/>
                <w:right w:val="none" w:sz="0" w:space="0" w:color="auto"/>
              </w:divBdr>
              <w:divsChild>
                <w:div w:id="126777448">
                  <w:marLeft w:val="0"/>
                  <w:marRight w:val="0"/>
                  <w:marTop w:val="0"/>
                  <w:marBottom w:val="0"/>
                  <w:divBdr>
                    <w:top w:val="none" w:sz="0" w:space="0" w:color="auto"/>
                    <w:left w:val="none" w:sz="0" w:space="0" w:color="auto"/>
                    <w:bottom w:val="none" w:sz="0" w:space="0" w:color="auto"/>
                    <w:right w:val="none" w:sz="0" w:space="0" w:color="auto"/>
                  </w:divBdr>
                </w:div>
                <w:div w:id="1438790512">
                  <w:marLeft w:val="0"/>
                  <w:marRight w:val="0"/>
                  <w:marTop w:val="0"/>
                  <w:marBottom w:val="0"/>
                  <w:divBdr>
                    <w:top w:val="none" w:sz="0" w:space="0" w:color="auto"/>
                    <w:left w:val="none" w:sz="0" w:space="0" w:color="auto"/>
                    <w:bottom w:val="none" w:sz="0" w:space="0" w:color="auto"/>
                    <w:right w:val="none" w:sz="0" w:space="0" w:color="auto"/>
                  </w:divBdr>
                </w:div>
              </w:divsChild>
            </w:div>
            <w:div w:id="1599097837">
              <w:marLeft w:val="0"/>
              <w:marRight w:val="0"/>
              <w:marTop w:val="0"/>
              <w:marBottom w:val="0"/>
              <w:divBdr>
                <w:top w:val="none" w:sz="0" w:space="0" w:color="auto"/>
                <w:left w:val="none" w:sz="0" w:space="0" w:color="auto"/>
                <w:bottom w:val="none" w:sz="0" w:space="0" w:color="auto"/>
                <w:right w:val="none" w:sz="0" w:space="0" w:color="auto"/>
              </w:divBdr>
            </w:div>
            <w:div w:id="975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860</Words>
  <Characters>4902</Characters>
  <Application>Microsoft Office Word</Application>
  <DocSecurity>0</DocSecurity>
  <Lines>40</Lines>
  <Paragraphs>11</Paragraphs>
  <ScaleCrop>false</ScaleCrop>
  <Company>微软中国</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姚凯迪</cp:lastModifiedBy>
  <cp:revision>5</cp:revision>
  <cp:lastPrinted>2020-04-09T02:15:00Z</cp:lastPrinted>
  <dcterms:created xsi:type="dcterms:W3CDTF">2020-04-07T07:47:00Z</dcterms:created>
  <dcterms:modified xsi:type="dcterms:W3CDTF">2020-04-09T02:15:00Z</dcterms:modified>
</cp:coreProperties>
</file>